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F392B" w14:paraId="17BEB464" w14:textId="77777777">
      <w:pPr>
        <w:bidi w:val="0"/>
        <w:jc w:val="center"/>
        <w:rPr>
          <w:b/>
        </w:rPr>
      </w:pPr>
      <w:r>
        <w:rPr>
          <w:b/>
          <w:rtl w:val="0"/>
          <w:lang w:val="fr"/>
        </w:rPr>
        <w:t>Sélectionner les théories pertinentes pour la GC</w:t>
      </w:r>
    </w:p>
    <w:p w:rsidR="008F392B" w14:paraId="17BEB465" w14:textId="66854FA2">
      <w:pPr>
        <w:bidi w:val="0"/>
      </w:pPr>
      <w:r>
        <w:rPr>
          <w:rtl w:val="0"/>
          <w:lang w:val="fr"/>
        </w:rPr>
        <w:t>Les théories énumérées ci-dessous sont des exemples utilisés dans le cadre de notre travail de GC. Toutefois, cela ne veut pas dire que ce sont les seules théories qui peuvent être appliquées. Lorsque vous commencez à utiliser la GC systématique dans votre travail, ajoutez les théories que vous appliquez à cette liste !</w:t>
      </w:r>
    </w:p>
    <w:tbl>
      <w:tblPr>
        <w:tblStyle w:val="a"/>
        <w:tblW w:w="104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305"/>
        <w:gridCol w:w="1530"/>
        <w:gridCol w:w="3995"/>
        <w:gridCol w:w="3600"/>
      </w:tblGrid>
      <w:tr w14:paraId="17BEB46A" w14:textId="77777777" w:rsidTr="000D3C0D">
        <w:tblPrEx>
          <w:tblW w:w="104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blHeader/>
          <w:jc w:val="center"/>
        </w:trPr>
        <w:tc>
          <w:tcPr>
            <w:tcW w:w="1305" w:type="dxa"/>
            <w:tcBorders>
              <w:top w:val="single" w:sz="8" w:space="0" w:color="000000"/>
              <w:left w:val="single" w:sz="8" w:space="0" w:color="000000"/>
            </w:tcBorders>
            <w:shd w:val="clear" w:color="auto" w:fill="348DA5"/>
            <w:tcMar>
              <w:top w:w="100" w:type="dxa"/>
              <w:left w:w="100" w:type="dxa"/>
              <w:bottom w:w="100" w:type="dxa"/>
              <w:right w:w="100" w:type="dxa"/>
            </w:tcMar>
            <w:vAlign w:val="bottom"/>
          </w:tcPr>
          <w:p w:rsidR="008F392B" w14:paraId="17BEB466" w14:textId="77777777">
            <w:pPr>
              <w:bidi w:val="0"/>
              <w:spacing w:after="0"/>
              <w:rPr>
                <w:color w:val="FFFFFF"/>
              </w:rPr>
            </w:pPr>
            <w:r>
              <w:rPr>
                <w:b/>
                <w:color w:val="FFFFFF"/>
                <w:sz w:val="20"/>
                <w:szCs w:val="20"/>
                <w:rtl w:val="0"/>
                <w:lang w:val="fr"/>
              </w:rPr>
              <w:t>Théorie</w:t>
            </w:r>
          </w:p>
        </w:tc>
        <w:tc>
          <w:tcPr>
            <w:tcW w:w="1530" w:type="dxa"/>
            <w:tcBorders>
              <w:top w:val="single" w:sz="8" w:space="0" w:color="000000"/>
            </w:tcBorders>
            <w:shd w:val="clear" w:color="auto" w:fill="348DA5"/>
            <w:tcMar>
              <w:top w:w="100" w:type="dxa"/>
              <w:left w:w="100" w:type="dxa"/>
              <w:bottom w:w="100" w:type="dxa"/>
              <w:right w:w="100" w:type="dxa"/>
            </w:tcMar>
            <w:vAlign w:val="bottom"/>
          </w:tcPr>
          <w:p w:rsidR="008F392B" w14:paraId="17BEB467" w14:textId="77777777">
            <w:pPr>
              <w:bidi w:val="0"/>
              <w:spacing w:after="0"/>
              <w:jc w:val="center"/>
              <w:rPr>
                <w:color w:val="FFFFFF"/>
              </w:rPr>
            </w:pPr>
            <w:r>
              <w:rPr>
                <w:b/>
                <w:color w:val="FFFFFF"/>
                <w:sz w:val="20"/>
                <w:szCs w:val="20"/>
                <w:rtl w:val="0"/>
                <w:lang w:val="fr"/>
              </w:rPr>
              <w:t>Cible</w:t>
            </w:r>
          </w:p>
        </w:tc>
        <w:tc>
          <w:tcPr>
            <w:tcW w:w="3995" w:type="dxa"/>
            <w:tcBorders>
              <w:top w:val="single" w:sz="8" w:space="0" w:color="000000"/>
            </w:tcBorders>
            <w:shd w:val="clear" w:color="auto" w:fill="348DA5"/>
            <w:tcMar>
              <w:top w:w="100" w:type="dxa"/>
              <w:left w:w="100" w:type="dxa"/>
              <w:bottom w:w="100" w:type="dxa"/>
              <w:right w:w="100" w:type="dxa"/>
            </w:tcMar>
            <w:vAlign w:val="bottom"/>
          </w:tcPr>
          <w:p w:rsidR="008F392B" w14:paraId="17BEB468" w14:textId="77777777">
            <w:pPr>
              <w:bidi w:val="0"/>
              <w:spacing w:after="0"/>
              <w:jc w:val="center"/>
              <w:rPr>
                <w:color w:val="FFFFFF"/>
              </w:rPr>
            </w:pPr>
            <w:r>
              <w:rPr>
                <w:b/>
                <w:color w:val="FFFFFF"/>
                <w:sz w:val="20"/>
                <w:szCs w:val="20"/>
                <w:rtl w:val="0"/>
                <w:lang w:val="fr"/>
              </w:rPr>
              <w:t>Concepts clés</w:t>
            </w:r>
          </w:p>
        </w:tc>
        <w:tc>
          <w:tcPr>
            <w:tcW w:w="3600" w:type="dxa"/>
            <w:tcBorders>
              <w:top w:val="single" w:sz="8" w:space="0" w:color="000000"/>
              <w:right w:val="single" w:sz="8" w:space="0" w:color="000000"/>
            </w:tcBorders>
            <w:shd w:val="clear" w:color="auto" w:fill="348DA5"/>
            <w:tcMar>
              <w:top w:w="100" w:type="dxa"/>
              <w:left w:w="100" w:type="dxa"/>
              <w:bottom w:w="100" w:type="dxa"/>
              <w:right w:w="100" w:type="dxa"/>
            </w:tcMar>
          </w:tcPr>
          <w:p w:rsidR="008F392B" w14:paraId="17BEB469" w14:textId="77777777">
            <w:pPr>
              <w:bidi w:val="0"/>
              <w:spacing w:after="0"/>
              <w:jc w:val="center"/>
              <w:rPr>
                <w:color w:val="FFFFFF"/>
              </w:rPr>
            </w:pPr>
            <w:r>
              <w:rPr>
                <w:b/>
                <w:color w:val="FFFFFF"/>
                <w:sz w:val="20"/>
                <w:szCs w:val="20"/>
                <w:rtl w:val="0"/>
                <w:lang w:val="fr"/>
              </w:rPr>
              <w:t>Application dans la gestion des connaissances</w:t>
            </w:r>
          </w:p>
        </w:tc>
      </w:tr>
      <w:tr w14:paraId="17BEB475" w14:textId="77777777">
        <w:tblPrEx>
          <w:tblW w:w="10430" w:type="dxa"/>
          <w:jc w:val="center"/>
          <w:tblLayout w:type="fixed"/>
          <w:tblLook w:val="0600"/>
        </w:tblPrEx>
        <w:trPr>
          <w:trHeight w:val="1780"/>
          <w:jc w:val="center"/>
        </w:trPr>
        <w:tc>
          <w:tcPr>
            <w:tcW w:w="1305" w:type="dxa"/>
            <w:tcBorders>
              <w:top w:val="single" w:sz="8" w:space="0" w:color="000000"/>
              <w:left w:val="single" w:sz="8" w:space="0" w:color="000000"/>
              <w:bottom w:val="single" w:sz="8" w:space="0" w:color="000000"/>
            </w:tcBorders>
            <w:shd w:val="clear" w:color="auto" w:fill="FDE9D9"/>
            <w:tcMar>
              <w:top w:w="100" w:type="dxa"/>
              <w:left w:w="100" w:type="dxa"/>
              <w:bottom w:w="100" w:type="dxa"/>
              <w:right w:w="100" w:type="dxa"/>
            </w:tcMar>
          </w:tcPr>
          <w:p w:rsidR="008F392B" w14:paraId="17BEB46B" w14:textId="77777777">
            <w:pPr>
              <w:bidi w:val="0"/>
              <w:spacing w:after="0"/>
              <w:rPr>
                <w:sz w:val="20"/>
                <w:szCs w:val="20"/>
              </w:rPr>
            </w:pPr>
            <w:r>
              <w:rPr>
                <w:sz w:val="20"/>
                <w:szCs w:val="20"/>
                <w:rtl w:val="0"/>
                <w:lang w:val="fr"/>
              </w:rPr>
              <w:t>Taxonomie de l'apprentissage de Bloom</w:t>
            </w:r>
            <w:r>
              <w:rPr>
                <w:sz w:val="20"/>
                <w:szCs w:val="20"/>
                <w:vertAlign w:val="superscript"/>
                <w:rtl w:val="0"/>
                <w:lang w:val="fr"/>
              </w:rPr>
              <w:t>5</w:t>
            </w:r>
          </w:p>
          <w:p w:rsidR="008F392B" w14:paraId="17BEB46C" w14:textId="77777777">
            <w:pPr>
              <w:spacing w:after="0"/>
              <w:rPr>
                <w:sz w:val="20"/>
                <w:szCs w:val="20"/>
              </w:rPr>
            </w:pPr>
          </w:p>
          <w:p w:rsidR="008F392B" w14:paraId="17BEB46D" w14:textId="77777777">
            <w:pPr>
              <w:spacing w:after="0"/>
              <w:rPr>
                <w:sz w:val="20"/>
                <w:szCs w:val="20"/>
              </w:rPr>
            </w:pPr>
          </w:p>
        </w:tc>
        <w:tc>
          <w:tcPr>
            <w:tcW w:w="1530"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6E" w14:textId="77777777">
            <w:pPr>
              <w:bidi w:val="0"/>
              <w:spacing w:after="0"/>
              <w:rPr>
                <w:sz w:val="20"/>
                <w:szCs w:val="20"/>
              </w:rPr>
            </w:pPr>
            <w:r>
              <w:rPr>
                <w:sz w:val="20"/>
                <w:szCs w:val="20"/>
                <w:rtl w:val="0"/>
                <w:lang w:val="fr"/>
              </w:rPr>
              <w:t>Promouvoir les concepts, les processus et les procédures dans l'éducation, plutôt que l'apprentissage par cœur.</w:t>
            </w:r>
          </w:p>
        </w:tc>
        <w:tc>
          <w:tcPr>
            <w:tcW w:w="3995"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6F" w14:textId="77777777">
            <w:pPr>
              <w:bidi w:val="0"/>
              <w:spacing w:after="0"/>
              <w:rPr>
                <w:sz w:val="20"/>
                <w:szCs w:val="20"/>
              </w:rPr>
            </w:pPr>
            <w:r>
              <w:rPr>
                <w:sz w:val="20"/>
                <w:szCs w:val="20"/>
                <w:rtl w:val="0"/>
                <w:lang w:val="fr"/>
              </w:rPr>
              <w:t xml:space="preserve">L'apprentissage s'articule autour de trois domaines : </w:t>
            </w:r>
          </w:p>
          <w:p w:rsidR="008F392B" w14:paraId="17BEB470" w14:textId="77777777">
            <w:pPr>
              <w:numPr>
                <w:ilvl w:val="0"/>
                <w:numId w:val="2"/>
              </w:numPr>
              <w:bidi w:val="0"/>
              <w:spacing w:after="0"/>
              <w:contextualSpacing/>
              <w:rPr>
                <w:sz w:val="20"/>
                <w:szCs w:val="20"/>
              </w:rPr>
            </w:pPr>
            <w:r>
              <w:rPr>
                <w:sz w:val="20"/>
                <w:szCs w:val="20"/>
                <w:rtl w:val="0"/>
                <w:lang w:val="fr"/>
              </w:rPr>
              <w:t>Cognitive (connaissance)</w:t>
            </w:r>
          </w:p>
          <w:p w:rsidR="008F392B" w14:paraId="17BEB471" w14:textId="77777777">
            <w:pPr>
              <w:numPr>
                <w:ilvl w:val="0"/>
                <w:numId w:val="2"/>
              </w:numPr>
              <w:bidi w:val="0"/>
              <w:spacing w:after="0"/>
              <w:contextualSpacing/>
              <w:rPr>
                <w:sz w:val="20"/>
                <w:szCs w:val="20"/>
              </w:rPr>
            </w:pPr>
            <w:r>
              <w:rPr>
                <w:sz w:val="20"/>
                <w:szCs w:val="20"/>
                <w:rtl w:val="0"/>
                <w:lang w:val="fr"/>
              </w:rPr>
              <w:t>Affectif (attitude)</w:t>
            </w:r>
          </w:p>
          <w:p w:rsidR="008F392B" w14:paraId="17BEB472" w14:textId="77777777">
            <w:pPr>
              <w:numPr>
                <w:ilvl w:val="0"/>
                <w:numId w:val="2"/>
              </w:numPr>
              <w:bidi w:val="0"/>
              <w:spacing w:after="0"/>
              <w:contextualSpacing/>
              <w:rPr>
                <w:sz w:val="20"/>
                <w:szCs w:val="20"/>
              </w:rPr>
            </w:pPr>
            <w:r>
              <w:rPr>
                <w:sz w:val="20"/>
                <w:szCs w:val="20"/>
                <w:rtl w:val="0"/>
                <w:lang w:val="fr"/>
              </w:rPr>
              <w:t>Psychomoteur (compétences)</w:t>
            </w:r>
          </w:p>
          <w:p w:rsidR="008F392B" w14:paraId="17BEB473" w14:textId="77777777">
            <w:pPr>
              <w:bidi w:val="0"/>
              <w:spacing w:after="0"/>
              <w:rPr>
                <w:sz w:val="20"/>
                <w:szCs w:val="20"/>
              </w:rPr>
            </w:pPr>
            <w:r>
              <w:rPr>
                <w:sz w:val="20"/>
                <w:szCs w:val="20"/>
                <w:rtl w:val="0"/>
                <w:lang w:val="fr"/>
              </w:rPr>
              <w:t>Le niveau d'expertise dans chaque domaine peut être exprimé à l'aide d'une échelle à plusieurs niveaux. Par exemple, le domaine des connaissances comprend six niveaux d'expertise : connaissance, compréhension, application, analyse, synthèse et évaluation.</w:t>
            </w:r>
          </w:p>
        </w:tc>
        <w:tc>
          <w:tcPr>
            <w:tcW w:w="36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rsidR="008F392B" w14:paraId="17BEB474" w14:textId="77777777">
            <w:pPr>
              <w:bidi w:val="0"/>
              <w:spacing w:after="0"/>
              <w:rPr>
                <w:sz w:val="20"/>
                <w:szCs w:val="20"/>
              </w:rPr>
            </w:pPr>
            <w:r>
              <w:rPr>
                <w:sz w:val="20"/>
                <w:szCs w:val="20"/>
                <w:rtl w:val="0"/>
                <w:lang w:val="fr"/>
              </w:rPr>
              <w:t xml:space="preserve">Reconnaître les différents domaines d'apprentissage peut aider les activités de GC à aborder non seulement les connaissances mais aussi les compétences et les attitudes. Par exemple, une activité de gestion des connaissances peut aider à améliorer les connaissances des médecins sur les contraceptions réversibles à action prolongée (LARC) ainsi que leurs compétences en matière d'insertion des méthodes de LARC et leurs attitudes quant à la fourniture de ces méthodes. L'identification du niveau d'expertise souhaité dans chaque domaine aidera également à déterminer les approches spécifiques à utiliser ainsi que les techniques pour évaluer l'efficacité.  </w:t>
            </w:r>
          </w:p>
        </w:tc>
      </w:tr>
      <w:tr w14:paraId="17BEB481" w14:textId="77777777">
        <w:tblPrEx>
          <w:tblW w:w="10430" w:type="dxa"/>
          <w:jc w:val="center"/>
          <w:tblLayout w:type="fixed"/>
          <w:tblLook w:val="0600"/>
        </w:tblPrEx>
        <w:trPr>
          <w:trHeight w:val="1780"/>
          <w:jc w:val="center"/>
        </w:trPr>
        <w:tc>
          <w:tcPr>
            <w:tcW w:w="1305" w:type="dxa"/>
            <w:tcBorders>
              <w:top w:val="single" w:sz="8" w:space="0" w:color="000000"/>
              <w:left w:val="single" w:sz="8" w:space="0" w:color="000000"/>
              <w:bottom w:val="single" w:sz="8" w:space="0" w:color="000000"/>
            </w:tcBorders>
            <w:shd w:val="clear" w:color="auto" w:fill="FDE9D9"/>
            <w:tcMar>
              <w:top w:w="100" w:type="dxa"/>
              <w:left w:w="100" w:type="dxa"/>
              <w:bottom w:w="100" w:type="dxa"/>
              <w:right w:w="100" w:type="dxa"/>
            </w:tcMar>
          </w:tcPr>
          <w:p w:rsidR="008F392B" w14:paraId="17BEB476" w14:textId="77777777">
            <w:pPr>
              <w:bidi w:val="0"/>
              <w:spacing w:after="0"/>
              <w:rPr>
                <w:sz w:val="20"/>
                <w:szCs w:val="20"/>
              </w:rPr>
            </w:pPr>
            <w:r>
              <w:rPr>
                <w:sz w:val="20"/>
                <w:szCs w:val="20"/>
                <w:rtl w:val="0"/>
                <w:lang w:val="fr"/>
              </w:rPr>
              <w:t>Diffusion des innovations</w:t>
            </w:r>
            <w:r>
              <w:rPr>
                <w:sz w:val="20"/>
                <w:szCs w:val="20"/>
                <w:vertAlign w:val="superscript"/>
                <w:rtl w:val="0"/>
                <w:lang w:val="fr"/>
              </w:rPr>
              <w:t>6</w:t>
            </w:r>
          </w:p>
          <w:p w:rsidR="008F392B" w14:paraId="17BEB477" w14:textId="77777777">
            <w:pPr>
              <w:spacing w:after="0"/>
              <w:rPr>
                <w:sz w:val="20"/>
                <w:szCs w:val="20"/>
              </w:rPr>
            </w:pPr>
          </w:p>
          <w:p w:rsidR="008F392B" w14:paraId="17BEB478" w14:textId="77777777">
            <w:pPr>
              <w:spacing w:after="0"/>
              <w:rPr>
                <w:sz w:val="20"/>
                <w:szCs w:val="20"/>
              </w:rPr>
            </w:pPr>
          </w:p>
        </w:tc>
        <w:tc>
          <w:tcPr>
            <w:tcW w:w="1530"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79" w14:textId="77777777">
            <w:pPr>
              <w:bidi w:val="0"/>
              <w:spacing w:after="0"/>
              <w:rPr>
                <w:sz w:val="20"/>
                <w:szCs w:val="20"/>
              </w:rPr>
            </w:pPr>
            <w:r>
              <w:rPr>
                <w:sz w:val="20"/>
                <w:szCs w:val="20"/>
                <w:rtl w:val="0"/>
                <w:lang w:val="fr"/>
              </w:rPr>
              <w:t>Comment les nouvelles idées, les nouveaux produits et les nouvelles pratiques se répandent dans un système au fil du temps.</w:t>
            </w:r>
          </w:p>
        </w:tc>
        <w:tc>
          <w:tcPr>
            <w:tcW w:w="3995"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7A" w14:textId="77777777">
            <w:pPr>
              <w:bidi w:val="0"/>
              <w:spacing w:after="0"/>
              <w:rPr>
                <w:sz w:val="20"/>
                <w:szCs w:val="20"/>
              </w:rPr>
            </w:pPr>
            <w:r>
              <w:rPr>
                <w:sz w:val="20"/>
                <w:szCs w:val="20"/>
                <w:rtl w:val="0"/>
                <w:lang w:val="fr"/>
              </w:rPr>
              <w:t xml:space="preserve">Il existe cinq types d'adoptants à prendre en compte lors de la promotion d'un nouveau produit ou d'une nouvelle idée : </w:t>
            </w:r>
          </w:p>
          <w:p w:rsidR="008F392B" w14:paraId="17BEB47B" w14:textId="77777777">
            <w:pPr>
              <w:numPr>
                <w:ilvl w:val="0"/>
                <w:numId w:val="1"/>
              </w:numPr>
              <w:bidi w:val="0"/>
              <w:spacing w:after="0"/>
              <w:ind w:left="295" w:hanging="295"/>
              <w:contextualSpacing/>
            </w:pPr>
            <w:r>
              <w:rPr>
                <w:sz w:val="20"/>
                <w:szCs w:val="20"/>
                <w:rtl w:val="0"/>
                <w:lang w:val="fr"/>
              </w:rPr>
              <w:t>Innovateurs (veulent être les premiers à essayer l'innovation)</w:t>
            </w:r>
          </w:p>
          <w:p w:rsidR="008F392B" w14:paraId="17BEB47C" w14:textId="77777777">
            <w:pPr>
              <w:numPr>
                <w:ilvl w:val="0"/>
                <w:numId w:val="1"/>
              </w:numPr>
              <w:bidi w:val="0"/>
              <w:spacing w:after="0"/>
              <w:ind w:left="295" w:hanging="295"/>
              <w:contextualSpacing/>
            </w:pPr>
            <w:r>
              <w:rPr>
                <w:sz w:val="20"/>
                <w:szCs w:val="20"/>
                <w:rtl w:val="0"/>
                <w:lang w:val="fr"/>
              </w:rPr>
              <w:t>Adopteurs précoces (à l'aise avec l'adoption de l'innovation et ils ont tendance à être des leaders d'opinion qui influencent les décisions des autres).</w:t>
            </w:r>
          </w:p>
          <w:p w:rsidR="008F392B" w14:paraId="17BEB47D" w14:textId="77777777">
            <w:pPr>
              <w:numPr>
                <w:ilvl w:val="0"/>
                <w:numId w:val="1"/>
              </w:numPr>
              <w:bidi w:val="0"/>
              <w:spacing w:after="0"/>
              <w:ind w:left="295" w:hanging="295"/>
              <w:contextualSpacing/>
            </w:pPr>
            <w:r>
              <w:rPr>
                <w:sz w:val="20"/>
                <w:szCs w:val="20"/>
                <w:rtl w:val="0"/>
                <w:lang w:val="fr"/>
              </w:rPr>
              <w:t>Majorité précoce (adopte les nouvelles idées avant le commun des mortels et a généralement besoin de voir d'abord la preuve que l'innovation fonctionne).</w:t>
            </w:r>
          </w:p>
          <w:p w:rsidR="008F392B" w14:paraId="17BEB47E" w14:textId="77777777">
            <w:pPr>
              <w:numPr>
                <w:ilvl w:val="0"/>
                <w:numId w:val="1"/>
              </w:numPr>
              <w:bidi w:val="0"/>
              <w:spacing w:after="0"/>
              <w:ind w:left="295" w:hanging="295"/>
              <w:contextualSpacing/>
            </w:pPr>
            <w:r>
              <w:rPr>
                <w:sz w:val="20"/>
                <w:szCs w:val="20"/>
                <w:rtl w:val="0"/>
                <w:lang w:val="fr"/>
              </w:rPr>
              <w:t>Majorité tardive (sceptique à l'égard du changement et n'adoptera une innovation qu'après que la majorité l'aura essayée)</w:t>
            </w:r>
          </w:p>
          <w:p w:rsidR="008F392B" w14:paraId="17BEB47F" w14:textId="77777777">
            <w:pPr>
              <w:numPr>
                <w:ilvl w:val="0"/>
                <w:numId w:val="1"/>
              </w:numPr>
              <w:bidi w:val="0"/>
              <w:spacing w:after="0"/>
              <w:ind w:left="295" w:hanging="295"/>
              <w:contextualSpacing/>
              <w:rPr>
                <w:sz w:val="20"/>
                <w:szCs w:val="20"/>
              </w:rPr>
            </w:pPr>
            <w:r>
              <w:rPr>
                <w:sz w:val="20"/>
                <w:szCs w:val="20"/>
                <w:rtl w:val="0"/>
                <w:lang w:val="fr"/>
              </w:rPr>
              <w:t xml:space="preserve">Les retardataires (très sceptiques et représente le groupe le plus difficile à persuader) </w:t>
            </w:r>
          </w:p>
        </w:tc>
        <w:tc>
          <w:tcPr>
            <w:tcW w:w="36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rsidR="008F392B" w14:paraId="17BEB480" w14:textId="77777777">
            <w:pPr>
              <w:bidi w:val="0"/>
              <w:spacing w:after="0"/>
              <w:rPr>
                <w:sz w:val="20"/>
                <w:szCs w:val="20"/>
              </w:rPr>
            </w:pPr>
            <w:r>
              <w:rPr>
                <w:sz w:val="20"/>
                <w:szCs w:val="20"/>
                <w:rtl w:val="0"/>
                <w:lang w:val="fr"/>
              </w:rPr>
              <w:t xml:space="preserve">En identifiant les cinq types d'adoptants parmi le public visé par votre intervention de GC, vous pouvez ensuite appliquer des stratégies différentes pour atteindre chaque segment. Par exemple, votre intervention peut se concentrer sur le recrutement de leaders d'opinion pour persuader la « majorité précoce » d'adopter votre intervention de GC. </w:t>
            </w:r>
          </w:p>
        </w:tc>
      </w:tr>
      <w:tr w14:paraId="17BEB48D" w14:textId="77777777">
        <w:tblPrEx>
          <w:tblW w:w="10430" w:type="dxa"/>
          <w:jc w:val="center"/>
          <w:tblLayout w:type="fixed"/>
          <w:tblLook w:val="0600"/>
        </w:tblPrEx>
        <w:trPr>
          <w:trHeight w:val="1780"/>
          <w:jc w:val="center"/>
        </w:trPr>
        <w:tc>
          <w:tcPr>
            <w:tcW w:w="1305" w:type="dxa"/>
            <w:tcBorders>
              <w:top w:val="single" w:sz="8" w:space="0" w:color="000000"/>
              <w:left w:val="single" w:sz="8" w:space="0" w:color="000000"/>
              <w:bottom w:val="single" w:sz="8" w:space="0" w:color="000000"/>
            </w:tcBorders>
            <w:shd w:val="clear" w:color="auto" w:fill="FDE9D9"/>
            <w:tcMar>
              <w:top w:w="100" w:type="dxa"/>
              <w:left w:w="100" w:type="dxa"/>
              <w:bottom w:w="100" w:type="dxa"/>
              <w:right w:w="100" w:type="dxa"/>
            </w:tcMar>
          </w:tcPr>
          <w:p w:rsidR="008F392B" w14:paraId="17BEB482" w14:textId="77777777">
            <w:pPr>
              <w:bidi w:val="0"/>
              <w:spacing w:after="0"/>
              <w:rPr>
                <w:sz w:val="20"/>
                <w:szCs w:val="20"/>
              </w:rPr>
            </w:pPr>
            <w:r>
              <w:rPr>
                <w:sz w:val="20"/>
                <w:szCs w:val="20"/>
                <w:rtl w:val="0"/>
                <w:lang w:val="fr"/>
              </w:rPr>
              <w:t>Idéation</w:t>
            </w:r>
            <w:r>
              <w:rPr>
                <w:sz w:val="20"/>
                <w:szCs w:val="20"/>
                <w:vertAlign w:val="superscript"/>
                <w:rtl w:val="0"/>
                <w:lang w:val="fr"/>
              </w:rPr>
              <w:t>7</w:t>
            </w:r>
          </w:p>
          <w:p w:rsidR="008F392B" w14:paraId="17BEB483" w14:textId="77777777">
            <w:pPr>
              <w:spacing w:after="0"/>
              <w:rPr>
                <w:sz w:val="20"/>
                <w:szCs w:val="20"/>
              </w:rPr>
            </w:pPr>
          </w:p>
        </w:tc>
        <w:tc>
          <w:tcPr>
            <w:tcW w:w="1530"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84" w14:textId="77777777">
            <w:pPr>
              <w:bidi w:val="0"/>
              <w:spacing w:after="0"/>
              <w:rPr>
                <w:sz w:val="20"/>
                <w:szCs w:val="20"/>
              </w:rPr>
            </w:pPr>
            <w:r>
              <w:rPr>
                <w:sz w:val="20"/>
                <w:szCs w:val="20"/>
                <w:rtl w:val="0"/>
                <w:lang w:val="fr"/>
              </w:rPr>
              <w:t>Diffusion de nouvelles façons de penser ou de nouveaux comportements par la communication et l'interaction sociale.</w:t>
            </w:r>
          </w:p>
        </w:tc>
        <w:tc>
          <w:tcPr>
            <w:tcW w:w="3995"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85" w14:textId="77777777">
            <w:pPr>
              <w:bidi w:val="0"/>
              <w:spacing w:after="0"/>
            </w:pPr>
            <w:r>
              <w:rPr>
                <w:sz w:val="20"/>
                <w:szCs w:val="20"/>
                <w:rtl w:val="0"/>
                <w:lang w:val="fr"/>
              </w:rPr>
              <w:t>La probabilité d'adopter un nouveau comportement est plus élevée lorsque quelqu'un :</w:t>
            </w:r>
          </w:p>
          <w:p w:rsidR="008F392B" w14:paraId="17BEB486" w14:textId="77777777">
            <w:pPr>
              <w:numPr>
                <w:ilvl w:val="0"/>
                <w:numId w:val="1"/>
              </w:numPr>
              <w:bidi w:val="0"/>
              <w:spacing w:after="0"/>
              <w:ind w:left="295" w:hanging="295"/>
              <w:contextualSpacing/>
              <w:rPr>
                <w:sz w:val="20"/>
                <w:szCs w:val="20"/>
              </w:rPr>
            </w:pPr>
            <w:r>
              <w:rPr>
                <w:sz w:val="20"/>
                <w:szCs w:val="20"/>
                <w:rtl w:val="0"/>
                <w:lang w:val="fr"/>
              </w:rPr>
              <w:t>A acquis des connaissances et des compétences suffisantes à ce sujet.</w:t>
            </w:r>
          </w:p>
          <w:p w:rsidR="008F392B" w14:paraId="17BEB487" w14:textId="77777777">
            <w:pPr>
              <w:numPr>
                <w:ilvl w:val="0"/>
                <w:numId w:val="1"/>
              </w:numPr>
              <w:bidi w:val="0"/>
              <w:spacing w:after="0"/>
              <w:ind w:left="295" w:hanging="295"/>
              <w:contextualSpacing/>
              <w:rPr>
                <w:sz w:val="20"/>
                <w:szCs w:val="20"/>
              </w:rPr>
            </w:pPr>
            <w:r>
              <w:rPr>
                <w:sz w:val="20"/>
                <w:szCs w:val="20"/>
                <w:rtl w:val="0"/>
                <w:lang w:val="fr"/>
              </w:rPr>
              <w:t>A développé une attitude positive à son égard.</w:t>
            </w:r>
          </w:p>
          <w:p w:rsidR="008F392B" w14:paraId="17BEB488" w14:textId="77777777">
            <w:pPr>
              <w:numPr>
                <w:ilvl w:val="0"/>
                <w:numId w:val="1"/>
              </w:numPr>
              <w:bidi w:val="0"/>
              <w:spacing w:after="0"/>
              <w:ind w:left="295" w:hanging="295"/>
              <w:contextualSpacing/>
              <w:rPr>
                <w:sz w:val="20"/>
                <w:szCs w:val="20"/>
              </w:rPr>
            </w:pPr>
            <w:r>
              <w:rPr>
                <w:sz w:val="20"/>
                <w:szCs w:val="20"/>
                <w:rtl w:val="0"/>
                <w:lang w:val="fr"/>
              </w:rPr>
              <w:t>Pense que les autres le soutiennent et le pratiquent.</w:t>
            </w:r>
          </w:p>
          <w:p w:rsidR="008F392B" w14:paraId="17BEB489" w14:textId="77777777">
            <w:pPr>
              <w:numPr>
                <w:ilvl w:val="0"/>
                <w:numId w:val="1"/>
              </w:numPr>
              <w:bidi w:val="0"/>
              <w:spacing w:after="0"/>
              <w:ind w:left="295" w:hanging="295"/>
              <w:contextualSpacing/>
              <w:rPr>
                <w:sz w:val="20"/>
                <w:szCs w:val="20"/>
              </w:rPr>
            </w:pPr>
            <w:r>
              <w:rPr>
                <w:sz w:val="20"/>
                <w:szCs w:val="20"/>
                <w:rtl w:val="0"/>
                <w:lang w:val="fr"/>
              </w:rPr>
              <w:t>En a parlé à d'autres personnes.</w:t>
            </w:r>
          </w:p>
          <w:p w:rsidR="008F392B" w14:paraId="17BEB48A" w14:textId="77777777">
            <w:pPr>
              <w:numPr>
                <w:ilvl w:val="0"/>
                <w:numId w:val="1"/>
              </w:numPr>
              <w:bidi w:val="0"/>
              <w:spacing w:after="0"/>
              <w:ind w:left="295" w:hanging="295"/>
              <w:contextualSpacing/>
              <w:rPr>
                <w:sz w:val="20"/>
                <w:szCs w:val="20"/>
              </w:rPr>
            </w:pPr>
            <w:r>
              <w:rPr>
                <w:sz w:val="20"/>
                <w:szCs w:val="20"/>
                <w:rtl w:val="0"/>
                <w:lang w:val="fr"/>
              </w:rPr>
              <w:t>Se sent bien de le faire.</w:t>
            </w:r>
          </w:p>
          <w:p w:rsidR="008F392B" w14:paraId="17BEB48B" w14:textId="77777777">
            <w:pPr>
              <w:bidi w:val="0"/>
              <w:spacing w:after="0"/>
              <w:rPr>
                <w:sz w:val="20"/>
                <w:szCs w:val="20"/>
              </w:rPr>
            </w:pPr>
            <w:r>
              <w:rPr>
                <w:sz w:val="20"/>
                <w:szCs w:val="20"/>
                <w:rtl w:val="0"/>
                <w:lang w:val="fr"/>
              </w:rPr>
              <w:t xml:space="preserve">Les programmes peuvent choisir les stratégies de communication à privilégier en fonction des facteurs qui sont les meilleurs prédicteurs du comportement dans leur contexte donné. </w:t>
            </w:r>
          </w:p>
        </w:tc>
        <w:tc>
          <w:tcPr>
            <w:tcW w:w="36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rsidR="008F392B" w14:paraId="17BEB48C" w14:textId="77777777">
            <w:pPr>
              <w:bidi w:val="0"/>
              <w:spacing w:after="0"/>
              <w:rPr>
                <w:sz w:val="20"/>
                <w:szCs w:val="20"/>
              </w:rPr>
            </w:pPr>
            <w:r>
              <w:rPr>
                <w:sz w:val="20"/>
                <w:szCs w:val="20"/>
                <w:rtl w:val="0"/>
                <w:lang w:val="fr"/>
              </w:rPr>
              <w:t xml:space="preserve">Lorsque vous concevez votre intervention de GC, réfléchissez aux facteurs qui empêchent ou facilitent l'adoption par votre public du comportement que vous voulez promouvoir. Par exemple, manquent-ils de connaissances actualisées et pourraient-ils donc bénéficier d'une formation en cours d'emploi ou d'ateliers réguliers ? Ou peut-être ont-ils les connaissances nécessaires mais pensent-ils que leurs superviseurs ne soutiennent pas ce comportement ? Une bonne compréhension de ces questions peut vous aider à sélectionner les activités de gestion des connaissances les plus appropriées. </w:t>
            </w:r>
          </w:p>
        </w:tc>
      </w:tr>
      <w:tr w14:paraId="17BEB49A" w14:textId="77777777">
        <w:tblPrEx>
          <w:tblW w:w="10430" w:type="dxa"/>
          <w:jc w:val="center"/>
          <w:tblLayout w:type="fixed"/>
          <w:tblLook w:val="0600"/>
        </w:tblPrEx>
        <w:trPr>
          <w:trHeight w:val="1780"/>
          <w:jc w:val="center"/>
        </w:trPr>
        <w:tc>
          <w:tcPr>
            <w:tcW w:w="1305" w:type="dxa"/>
            <w:tcBorders>
              <w:top w:val="single" w:sz="8" w:space="0" w:color="000000"/>
              <w:left w:val="single" w:sz="8" w:space="0" w:color="000000"/>
              <w:bottom w:val="single" w:sz="8" w:space="0" w:color="000000"/>
            </w:tcBorders>
            <w:shd w:val="clear" w:color="auto" w:fill="FDE9D9"/>
            <w:tcMar>
              <w:top w:w="100" w:type="dxa"/>
              <w:left w:w="100" w:type="dxa"/>
              <w:bottom w:w="100" w:type="dxa"/>
              <w:right w:w="100" w:type="dxa"/>
            </w:tcMar>
          </w:tcPr>
          <w:p w:rsidR="008F392B" w14:paraId="17BEB48E" w14:textId="77777777">
            <w:pPr>
              <w:bidi w:val="0"/>
              <w:spacing w:after="0"/>
              <w:rPr>
                <w:sz w:val="20"/>
                <w:szCs w:val="20"/>
              </w:rPr>
            </w:pPr>
            <w:r>
              <w:rPr>
                <w:sz w:val="20"/>
                <w:szCs w:val="20"/>
                <w:rtl w:val="0"/>
                <w:lang w:val="fr"/>
              </w:rPr>
              <w:t>Les étapes du travail</w:t>
            </w:r>
            <w:r>
              <w:rPr>
                <w:sz w:val="20"/>
                <w:szCs w:val="20"/>
                <w:vertAlign w:val="superscript"/>
                <w:rtl w:val="0"/>
                <w:lang w:val="fr"/>
              </w:rPr>
              <w:t>8</w:t>
            </w:r>
            <w:r>
              <w:rPr>
                <w:sz w:val="20"/>
                <w:szCs w:val="20"/>
                <w:rtl w:val="0"/>
                <w:lang w:val="fr"/>
              </w:rPr>
              <w:t xml:space="preserve"> </w:t>
            </w:r>
          </w:p>
          <w:p w:rsidR="008F392B" w14:paraId="17BEB48F" w14:textId="77777777">
            <w:pPr>
              <w:spacing w:after="0"/>
              <w:rPr>
                <w:sz w:val="20"/>
                <w:szCs w:val="20"/>
              </w:rPr>
            </w:pPr>
          </w:p>
          <w:p w:rsidR="008F392B" w14:paraId="17BEB490" w14:textId="77777777">
            <w:pPr>
              <w:spacing w:after="0"/>
            </w:pPr>
          </w:p>
        </w:tc>
        <w:tc>
          <w:tcPr>
            <w:tcW w:w="1530"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91" w14:textId="77777777">
            <w:pPr>
              <w:bidi w:val="0"/>
              <w:spacing w:after="0"/>
            </w:pPr>
            <w:r>
              <w:rPr>
                <w:sz w:val="20"/>
                <w:szCs w:val="20"/>
                <w:rtl w:val="0"/>
                <w:lang w:val="fr"/>
              </w:rPr>
              <w:t>La motivation individuelle ou la volonté de changer de comportement</w:t>
            </w:r>
          </w:p>
        </w:tc>
        <w:tc>
          <w:tcPr>
            <w:tcW w:w="3995" w:type="dxa"/>
            <w:tcBorders>
              <w:top w:val="single" w:sz="8" w:space="0" w:color="000000"/>
              <w:bottom w:val="single" w:sz="8" w:space="0" w:color="000000"/>
            </w:tcBorders>
            <w:shd w:val="clear" w:color="auto" w:fill="FDE9D9"/>
            <w:tcMar>
              <w:top w:w="100" w:type="dxa"/>
              <w:left w:w="100" w:type="dxa"/>
              <w:bottom w:w="100" w:type="dxa"/>
              <w:right w:w="100" w:type="dxa"/>
            </w:tcMar>
          </w:tcPr>
          <w:p w:rsidR="008F392B" w14:paraId="17BEB492" w14:textId="77777777">
            <w:pPr>
              <w:bidi w:val="0"/>
              <w:spacing w:after="0"/>
              <w:rPr>
                <w:sz w:val="20"/>
                <w:szCs w:val="20"/>
              </w:rPr>
            </w:pPr>
            <w:r>
              <w:rPr>
                <w:sz w:val="20"/>
                <w:szCs w:val="20"/>
                <w:rtl w:val="0"/>
                <w:lang w:val="fr"/>
              </w:rPr>
              <w:t xml:space="preserve">Les gens passent par cinq étapes lorsqu'ils adoptent de nouveaux comportements : </w:t>
            </w:r>
          </w:p>
          <w:p w:rsidR="008F392B" w14:paraId="17BEB493" w14:textId="77777777">
            <w:pPr>
              <w:numPr>
                <w:ilvl w:val="0"/>
                <w:numId w:val="1"/>
              </w:numPr>
              <w:bidi w:val="0"/>
              <w:spacing w:after="0"/>
              <w:ind w:left="295" w:hanging="295"/>
              <w:contextualSpacing/>
            </w:pPr>
            <w:r>
              <w:rPr>
                <w:sz w:val="20"/>
                <w:szCs w:val="20"/>
                <w:rtl w:val="0"/>
                <w:lang w:val="fr"/>
              </w:rPr>
              <w:t>Précontemplation (inconscient du problème)</w:t>
            </w:r>
          </w:p>
          <w:p w:rsidR="008F392B" w14:paraId="17BEB494" w14:textId="77777777">
            <w:pPr>
              <w:numPr>
                <w:ilvl w:val="0"/>
                <w:numId w:val="1"/>
              </w:numPr>
              <w:bidi w:val="0"/>
              <w:spacing w:after="0"/>
              <w:ind w:left="295" w:hanging="295"/>
              <w:contextualSpacing/>
            </w:pPr>
            <w:r>
              <w:rPr>
                <w:sz w:val="20"/>
                <w:szCs w:val="20"/>
                <w:rtl w:val="0"/>
                <w:lang w:val="fr"/>
              </w:rPr>
              <w:t>Contemplation (conscient)</w:t>
            </w:r>
          </w:p>
          <w:p w:rsidR="008F392B" w14:paraId="17BEB495" w14:textId="77777777">
            <w:pPr>
              <w:numPr>
                <w:ilvl w:val="0"/>
                <w:numId w:val="1"/>
              </w:numPr>
              <w:bidi w:val="0"/>
              <w:spacing w:after="0"/>
              <w:ind w:left="295" w:hanging="295"/>
              <w:contextualSpacing/>
            </w:pPr>
            <w:r>
              <w:rPr>
                <w:sz w:val="20"/>
                <w:szCs w:val="20"/>
                <w:rtl w:val="0"/>
                <w:lang w:val="fr"/>
              </w:rPr>
              <w:t>Décision (intention d'agir)</w:t>
            </w:r>
          </w:p>
          <w:p w:rsidR="008F392B" w14:paraId="17BEB496" w14:textId="77777777">
            <w:pPr>
              <w:numPr>
                <w:ilvl w:val="0"/>
                <w:numId w:val="1"/>
              </w:numPr>
              <w:bidi w:val="0"/>
              <w:spacing w:after="0"/>
              <w:ind w:left="295" w:hanging="295"/>
              <w:contextualSpacing/>
            </w:pPr>
            <w:r>
              <w:rPr>
                <w:sz w:val="20"/>
                <w:szCs w:val="20"/>
                <w:rtl w:val="0"/>
                <w:lang w:val="fr"/>
              </w:rPr>
              <w:t>Action (pratiquer le comportement souhaité)</w:t>
            </w:r>
          </w:p>
          <w:p w:rsidR="008F392B" w14:paraId="17BEB497" w14:textId="77777777">
            <w:pPr>
              <w:numPr>
                <w:ilvl w:val="0"/>
                <w:numId w:val="1"/>
              </w:numPr>
              <w:bidi w:val="0"/>
              <w:spacing w:after="0"/>
              <w:ind w:left="295" w:hanging="295"/>
              <w:contextualSpacing/>
            </w:pPr>
            <w:r>
              <w:rPr>
                <w:sz w:val="20"/>
                <w:szCs w:val="20"/>
                <w:rtl w:val="0"/>
                <w:lang w:val="fr"/>
              </w:rPr>
              <w:t>Entretien (vise à maintenir le changement de comportement)</w:t>
            </w:r>
          </w:p>
          <w:p w:rsidR="008F392B" w14:paraId="17BEB498" w14:textId="77777777">
            <w:pPr>
              <w:bidi w:val="0"/>
              <w:spacing w:after="0"/>
            </w:pPr>
            <w:r>
              <w:rPr>
                <w:sz w:val="20"/>
                <w:szCs w:val="20"/>
                <w:rtl w:val="0"/>
                <w:lang w:val="fr"/>
              </w:rPr>
              <w:t>Les personnes peuvent bénéficier de différentes interventions, adaptées à leur étape du changement, afin d'obtenir le changement de comportement souhaité.</w:t>
            </w:r>
          </w:p>
        </w:tc>
        <w:tc>
          <w:tcPr>
            <w:tcW w:w="360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rsidR="008F392B" w14:paraId="17BEB499" w14:textId="77777777">
            <w:pPr>
              <w:bidi w:val="0"/>
              <w:spacing w:after="0"/>
            </w:pPr>
            <w:r>
              <w:rPr>
                <w:sz w:val="20"/>
                <w:szCs w:val="20"/>
                <w:rtl w:val="0"/>
                <w:lang w:val="fr"/>
              </w:rPr>
              <w:t>L'identification du stade de comportement actuel de votre public peut vous aider à sélectionner les outils de GC appropriés pour faire passer le public du stade actuel au stade suivant. Par exemple, un outil de travail pour aider les prestataires au stade de la « décision » à passer au stade de l'« action ». Connaître le stade actuel de votre public peut également vous aider à fixer des objectifs réalistes. Par exemple, il n'est pas réaliste d'attendre d'un public qui n'a jamais entendu parler du problème qu'il apporte des changements immédiatement.</w:t>
            </w:r>
          </w:p>
        </w:tc>
      </w:tr>
    </w:tbl>
    <w:p w:rsidR="008F392B" w14:paraId="17BEB4A0" w14:textId="77777777"/>
    <w:sectPr>
      <w:headerReference w:type="default" r:id="rId4"/>
      <w:footerReference w:type="default" r:id="rId5"/>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3C0D" w:rsidRPr="000D3C0D" w:rsidP="000D3C0D" w14:paraId="4C84E8DA" w14:textId="1C3FAE34">
    <w:pPr>
      <w:pStyle w:val="NormalWeb"/>
      <w:bidi w:val="0"/>
      <w:spacing w:before="0" w:beforeAutospacing="0" w:after="0" w:afterAutospacing="0"/>
      <w:rPr>
        <w:rFonts w:ascii="Arial" w:hAnsi="Arial" w:cs="Arial"/>
        <w:sz w:val="16"/>
        <w:szCs w:val="16"/>
      </w:rPr>
    </w:pPr>
    <w:r w:rsidRPr="00B543D1">
      <w:rPr>
        <w:rFonts w:ascii="Arial" w:hAnsi="Arial" w:cs="Arial"/>
        <w:i/>
        <w:iCs/>
        <w:color w:val="000000"/>
        <w:sz w:val="16"/>
        <w:szCs w:val="16"/>
        <w:rtl w:val="0"/>
        <w:lang w:val="fr"/>
      </w:rPr>
      <w:t xml:space="preserve">Cette ressource est rendue possible grâce au soutien du peuple américain par l'intermédiaire de l'Agence des États-Unis pour le développement international (USAID) dans le cadre de l'accord de coopération du projet SUCCÈS DES CONNAISSANCES (renforcement de l'utilisation, des capacités, de la collaboration, de l'échange, de la synthèse et du partage) « Knowledge SUCCESS (Strengthening Use, Capacity, Collaboration, Exchange, Synthesis, and Sharing) »,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le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Le matériel original peut être trouvé sur </w:t>
    </w:r>
    <w:hyperlink r:id="rId1" w:history="1">
      <w:r w:rsidRPr="00B543D1">
        <w:rPr>
          <w:rStyle w:val="Hyperlink"/>
          <w:rFonts w:ascii="Arial" w:hAnsi="Arial" w:cs="Arial"/>
          <w:i/>
          <w:iCs/>
          <w:color w:val="1155CC"/>
          <w:sz w:val="16"/>
          <w:szCs w:val="16"/>
          <w:rtl w:val="0"/>
          <w:lang w:val="fr"/>
        </w:rPr>
        <w:t>www.kmtraining.org</w:t>
      </w:r>
    </w:hyperlink>
    <w:r w:rsidRPr="00B543D1">
      <w:rPr>
        <w:rFonts w:ascii="Arial" w:hAnsi="Arial" w:cs="Arial"/>
        <w:i/>
        <w:iCs/>
        <w:color w:val="000000"/>
        <w:sz w:val="16"/>
        <w:szCs w:val="16"/>
        <w:rtl w:val="0"/>
        <w:lang w:val="fr"/>
      </w:rPr>
      <w:t>.</w:t>
    </w:r>
  </w:p>
  <w:p w:rsidR="000D3C0D" w14:paraId="3E5328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92B" w14:paraId="17BEB4A1" w14:textId="77777777">
    <w:pPr>
      <w:ind w:hanging="900"/>
    </w:pPr>
    <w:r>
      <w:rPr>
        <w:noProof/>
      </w:rPr>
      <w:drawing>
        <wp:inline distT="114300" distB="114300" distL="114300" distR="114300">
          <wp:extent cx="3812177" cy="490538"/>
          <wp:effectExtent l="0" t="0" r="0" b="0"/>
          <wp:docPr id="1" name="image2.png" descr="headerKM.png"/>
          <wp:cNvGraphicFramePr/>
          <a:graphic xmlns:a="http://schemas.openxmlformats.org/drawingml/2006/main">
            <a:graphicData uri="http://schemas.openxmlformats.org/drawingml/2006/picture">
              <pic:pic xmlns:pic="http://schemas.openxmlformats.org/drawingml/2006/picture">
                <pic:nvPicPr>
                  <pic:cNvPr id="1495432465" name="image2.png" descr="headerKM.png"/>
                  <pic:cNvPicPr/>
                </pic:nvPicPr>
                <pic:blipFill>
                  <a:blip xmlns:r="http://schemas.openxmlformats.org/officeDocument/2006/relationships" r:embed="rId1"/>
                  <a:stretch>
                    <a:fillRect/>
                  </a:stretch>
                </pic:blipFill>
                <pic:spPr>
                  <a:xfrm>
                    <a:off x="0" y="0"/>
                    <a:ext cx="3812177" cy="490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B5050"/>
    <w:multiLevelType w:val="multilevel"/>
    <w:tmpl w:val="BAD8A4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51777EC4"/>
    <w:multiLevelType w:val="multilevel"/>
    <w:tmpl w:val="D6006D8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2B"/>
    <w:rsid w:val="000D3C0D"/>
    <w:rsid w:val="008F392B"/>
    <w:rsid w:val="00B543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48C122E-2270-4B8F-B7CA-B43E5AFB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0D"/>
  </w:style>
  <w:style w:type="paragraph" w:styleId="Footer">
    <w:name w:val="footer"/>
    <w:basedOn w:val="Normal"/>
    <w:link w:val="FooterChar"/>
    <w:uiPriority w:val="99"/>
    <w:unhideWhenUsed/>
    <w:rsid w:val="000D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0D"/>
  </w:style>
  <w:style w:type="paragraph" w:styleId="NormalWeb">
    <w:name w:val="Normal (Web)"/>
    <w:basedOn w:val="Normal"/>
    <w:uiPriority w:val="99"/>
    <w:unhideWhenUsed/>
    <w:rsid w:val="000D3C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0D3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hyperlink" Target="http://www.kmtraining.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2021-07-14T17:57:00Z</dcterms:created>
  <dcterms:modified xsi:type="dcterms:W3CDTF">2021-07-14T18:11:00Z</dcterms:modified>
</cp:coreProperties>
</file>