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94099" w:rsidP="00194099" w14:paraId="5ADCE4B6" w14:textId="7FB4D9FA">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 xml:space="preserve">Exercice : </w:t>
      </w:r>
    </w:p>
    <w:p w:rsidR="00194099" w:rsidRPr="00275ACF" w:rsidP="00983813" w14:paraId="673F0C02" w14:textId="6C7DA952">
      <w:pPr>
        <w:pStyle w:val="Title"/>
        <w:bidi w:val="0"/>
        <w:spacing w:before="160" w:after="12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Synthétiser les résultats quantitatifs</w:t>
      </w:r>
    </w:p>
    <w:p w:rsidR="009B133F" w:rsidRPr="00E84E9D" w:rsidP="00E84E9D" w14:paraId="1829E4FF" w14:textId="23972AE8">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C04EA4" w:rsidRPr="000974EC" w:rsidP="00C04EA4" w14:paraId="0A153BDD" w14:textId="77777777">
      <w:pPr>
        <w:numPr>
          <w:ilvl w:val="0"/>
          <w:numId w:val="18"/>
        </w:numPr>
        <w:bidi w:val="0"/>
        <w:spacing w:after="0" w:line="276" w:lineRule="auto"/>
        <w:rPr>
          <w:rFonts w:eastAsia="Arial" w:cs="Arial"/>
          <w:szCs w:val="24"/>
        </w:rPr>
      </w:pPr>
      <w:r w:rsidRPr="000974EC">
        <w:rPr>
          <w:rFonts w:eastAsia="Arial" w:cs="Arial"/>
          <w:szCs w:val="24"/>
          <w:rtl w:val="0"/>
          <w:lang w:val="fr"/>
        </w:rPr>
        <w:t xml:space="preserve">Identifier les types d'options disponibles pour la présentation des résultats de l'évaluation. </w:t>
      </w:r>
    </w:p>
    <w:p w:rsidR="00C04EA4" w:rsidRPr="000974EC" w:rsidP="00C04EA4" w14:paraId="6BA63DC3" w14:textId="6F3D66F8">
      <w:pPr>
        <w:numPr>
          <w:ilvl w:val="0"/>
          <w:numId w:val="18"/>
        </w:numPr>
        <w:bidi w:val="0"/>
        <w:spacing w:after="0" w:line="276" w:lineRule="auto"/>
        <w:rPr>
          <w:rFonts w:eastAsia="Arial" w:cs="Arial"/>
          <w:szCs w:val="24"/>
        </w:rPr>
      </w:pPr>
      <w:r w:rsidRPr="000974EC">
        <w:rPr>
          <w:rFonts w:eastAsia="Arial" w:cs="Arial"/>
          <w:szCs w:val="24"/>
          <w:rtl w:val="0"/>
          <w:lang w:val="fr"/>
        </w:rPr>
        <w:t>Discuter de manière critique des avantages et des inconvénients des options de diffusion en fonction d'un public identifié.</w:t>
      </w:r>
    </w:p>
    <w:p w:rsidR="009B133F" w:rsidRPr="00E84E9D" w:rsidP="00E84E9D" w14:paraId="6196BD53" w14:textId="73125D4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5566AD" w:rsidP="005566AD" w14:paraId="213162DF" w14:textId="581824F5">
      <w:pPr>
        <w:bidi w:val="0"/>
        <w:spacing w:after="0" w:line="276" w:lineRule="auto"/>
        <w:rPr>
          <w:rFonts w:eastAsia="Arial" w:cs="Arial"/>
          <w:szCs w:val="24"/>
        </w:rPr>
      </w:pPr>
      <w:r w:rsidRPr="000974EC">
        <w:rPr>
          <w:rFonts w:eastAsia="Arial" w:cs="Arial"/>
          <w:szCs w:val="24"/>
          <w:rtl w:val="0"/>
          <w:lang w:val="fr"/>
        </w:rPr>
        <w:t xml:space="preserve">Les évaluations de programmes ou d'activités peuvent s'appuyer sur des données quantitatives et/ou qualitatives. Les données quantitatives mesurent les phénomènes sous forme numérique, fournissant des informations essentielles pour mesurer les résultats, tandis que les données qualitatives qui décrivent les phénomènes de manière non numérique peuvent permettre une compréhension plus nuancée des résultats. Les deux types de données peuvent donc fournir des informations complémentaires pour guider les améliorations. Cet exercice donne aux participants l'occasion de travailler avec un petit ensemble de données </w:t>
      </w:r>
      <w:r w:rsidRPr="005566AD">
        <w:rPr>
          <w:rFonts w:eastAsia="Arial" w:cs="Arial"/>
          <w:b/>
          <w:szCs w:val="24"/>
          <w:rtl w:val="0"/>
          <w:lang w:val="fr"/>
        </w:rPr>
        <w:t>quantitatives</w:t>
      </w:r>
      <w:r w:rsidRPr="000974EC">
        <w:rPr>
          <w:rFonts w:eastAsia="Arial" w:cs="Arial"/>
          <w:szCs w:val="24"/>
          <w:rtl w:val="0"/>
          <w:lang w:val="fr"/>
        </w:rPr>
        <w:t xml:space="preserve"> et de réfléchir à la meilleure façon de présenter ces données. (Reportez-vous au jeu de diapositives PowerPoint de Étape 5 : Évaluer et évoluer pour savoir quand utiliser et quelles sont les meilleures pratiques d'utilisation des graphiques linéaires, des diagrammes à barres et des diagrammes circulaires). </w:t>
      </w:r>
    </w:p>
    <w:p w:rsidR="00C04EA4" w:rsidP="00C04EA4" w14:paraId="7B8D47C7" w14:textId="2E1CD606">
      <w:pPr>
        <w:spacing w:after="0" w:line="276" w:lineRule="auto"/>
        <w:rPr>
          <w:rFonts w:eastAsia="Arial" w:cs="Arial"/>
          <w:szCs w:val="24"/>
        </w:rPr>
      </w:pPr>
    </w:p>
    <w:p w:rsidR="009B133F" w:rsidRPr="00E84E9D" w:rsidP="00983813" w14:paraId="22C22D6D" w14:textId="52B981FB">
      <w:pPr>
        <w:bidi w:val="0"/>
        <w:spacing w:after="160" w:line="276" w:lineRule="auto"/>
        <w:rPr>
          <w:rFonts w:eastAsiaTheme="majorEastAsia" w:cstheme="majorBidi"/>
          <w:b/>
          <w:sz w:val="28"/>
          <w:szCs w:val="26"/>
        </w:rPr>
      </w:pPr>
      <w:r>
        <w:rPr>
          <w:rFonts w:eastAsiaTheme="majorEastAsia" w:cstheme="majorBidi"/>
          <w:b/>
          <w:sz w:val="28"/>
          <w:szCs w:val="26"/>
          <w:rtl w:val="0"/>
          <w:lang w:val="fr"/>
        </w:rPr>
        <w:t>Temps</w:t>
      </w:r>
    </w:p>
    <w:p w:rsidR="005872CD" w:rsidRPr="000130F4" w:rsidP="005872CD" w14:paraId="5250D576" w14:textId="59DD2974">
      <w:pPr>
        <w:widowControl w:val="0"/>
        <w:bidi w:val="0"/>
        <w:spacing w:line="276" w:lineRule="auto"/>
      </w:pPr>
      <w:r>
        <w:rPr>
          <w:rFonts w:eastAsia="Arial" w:cs="Arial"/>
          <w:szCs w:val="24"/>
          <w:rtl w:val="0"/>
          <w:lang w:val="fr"/>
        </w:rPr>
        <w:t>Durée : 40 minutes</w:t>
      </w:r>
    </w:p>
    <w:p w:rsidR="005872CD" w:rsidRPr="004F5726" w:rsidP="005872CD" w14:paraId="0219F48A" w14:textId="0976431A">
      <w:pPr>
        <w:widowControl w:val="0"/>
        <w:bidi w:val="0"/>
        <w:spacing w:after="0" w:line="276" w:lineRule="auto"/>
        <w:rPr>
          <w:rFonts w:eastAsia="Arial" w:cs="Arial"/>
          <w:szCs w:val="24"/>
        </w:rPr>
      </w:pPr>
      <w:r>
        <w:rPr>
          <w:rtl w:val="0"/>
          <w:lang w:val="fr"/>
        </w:rPr>
        <w:t xml:space="preserve">L'animateur doit expliquer l'exercice (5 minutes), laisser le temps aux participants d'examiner les données (5 minutes), et donner aux participants le temps de répondre aux quatre tâches (20 minutes). Les participants doivent partager leurs réflexions en petits groupes (5 minutes) puis faire part de leurs réactions générales à l'ensemble du groupe (5 minutes).  </w:t>
      </w:r>
    </w:p>
    <w:p w:rsidR="005566AD" w:rsidP="00983813" w14:paraId="78FE07DA" w14:textId="77777777">
      <w:pPr>
        <w:widowControl w:val="0"/>
        <w:spacing w:after="160" w:line="276" w:lineRule="auto"/>
        <w:rPr>
          <w:b/>
          <w:sz w:val="28"/>
          <w:szCs w:val="24"/>
        </w:rPr>
      </w:pPr>
    </w:p>
    <w:p w:rsidR="009B133F" w:rsidRPr="00E84E9D" w:rsidP="00983813" w14:paraId="5C6D355E" w14:textId="77777777">
      <w:pPr>
        <w:widowControl w:val="0"/>
        <w:bidi w:val="0"/>
        <w:spacing w:before="160" w:after="0" w:line="276" w:lineRule="auto"/>
        <w:rPr>
          <w:sz w:val="28"/>
        </w:rPr>
      </w:pPr>
      <w:r w:rsidRPr="00E84E9D">
        <w:rPr>
          <w:b/>
          <w:sz w:val="28"/>
          <w:szCs w:val="24"/>
          <w:rtl w:val="0"/>
          <w:lang w:val="fr"/>
        </w:rPr>
        <w:t>Mettre en œuvre l'activité.</w:t>
      </w:r>
    </w:p>
    <w:p w:rsidR="005566AD" w:rsidP="00BE3D01" w14:paraId="7BD66A62" w14:textId="77777777">
      <w:pPr>
        <w:spacing w:after="0" w:line="276" w:lineRule="auto"/>
        <w:rPr>
          <w:rFonts w:eastAsia="Arial" w:cs="Arial"/>
          <w:b/>
          <w:szCs w:val="24"/>
        </w:rPr>
      </w:pPr>
    </w:p>
    <w:p w:rsidR="005566AD" w:rsidRPr="005566AD" w:rsidP="00BE3D01" w14:paraId="44E45F50" w14:textId="76C68954">
      <w:pPr>
        <w:bidi w:val="0"/>
        <w:spacing w:after="0" w:line="276" w:lineRule="auto"/>
        <w:rPr>
          <w:rFonts w:eastAsia="Arial" w:cs="Arial"/>
          <w:b/>
          <w:szCs w:val="24"/>
        </w:rPr>
      </w:pPr>
      <w:r w:rsidRPr="005566AD">
        <w:rPr>
          <w:rFonts w:eastAsia="Arial" w:cs="Arial"/>
          <w:b/>
          <w:szCs w:val="24"/>
          <w:rtl w:val="0"/>
          <w:lang w:val="fr"/>
        </w:rPr>
        <w:t>Travail individuel</w:t>
      </w:r>
    </w:p>
    <w:p w:rsidR="005566AD" w:rsidP="00BE3D01" w14:paraId="58560339" w14:textId="77777777">
      <w:pPr>
        <w:spacing w:after="0" w:line="276" w:lineRule="auto"/>
        <w:rPr>
          <w:rFonts w:eastAsia="Arial" w:cs="Arial"/>
          <w:szCs w:val="24"/>
        </w:rPr>
      </w:pPr>
    </w:p>
    <w:p w:rsidR="00BE3D01" w:rsidRPr="00BE3D01" w:rsidP="00BE3D01" w14:paraId="003A9413" w14:textId="44802B4F">
      <w:pPr>
        <w:bidi w:val="0"/>
        <w:spacing w:after="0" w:line="276" w:lineRule="auto"/>
        <w:rPr>
          <w:rFonts w:eastAsia="Arial" w:cs="Arial"/>
          <w:szCs w:val="24"/>
        </w:rPr>
      </w:pPr>
      <w:r>
        <w:rPr>
          <w:rFonts w:eastAsia="Arial" w:cs="Arial"/>
          <w:szCs w:val="24"/>
          <w:rtl w:val="0"/>
          <w:lang w:val="fr"/>
        </w:rPr>
        <w:t xml:space="preserve">À la fin de la feuille d'exercice de ce document se trouve un tableau avec des résultats sélectionnés d'une activité de conseil aux prestataires de planification familiale (qui comprenait des éléments de GC). Veuillez accomplir les tâches suivantes, puis discutez-en en petits groupes. </w:t>
      </w:r>
    </w:p>
    <w:p w:rsidR="00BE3D01" w:rsidRPr="000974EC" w:rsidP="00C04EA4" w14:paraId="0B20B132" w14:textId="77777777">
      <w:pPr>
        <w:spacing w:after="0" w:line="276" w:lineRule="auto"/>
        <w:rPr>
          <w:rFonts w:eastAsia="Arial" w:cs="Arial"/>
          <w:b/>
          <w:szCs w:val="24"/>
        </w:rPr>
      </w:pPr>
    </w:p>
    <w:p w:rsidR="00C04EA4" w:rsidRPr="000974EC" w:rsidP="00C04EA4" w14:paraId="660818C1" w14:textId="2082750E">
      <w:pPr>
        <w:pStyle w:val="ListParagraph"/>
        <w:numPr>
          <w:ilvl w:val="0"/>
          <w:numId w:val="20"/>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Explorez les données présentées dans le tableau (à la dernière page de la feuille d'exercice) et décrivez deux autres façons de présenter les points clés des données, par exemple à l'aide d'un diagramme à barres, d'un graphique linéaire ou d'un autre type de tableau. Vous n'êtes pas obligé d'utiliser toutes les données dans vos présentations alternatives. (En fonction du temps et des ressources, comme des ordinateurs portables pour chaque participant, dont vous disposez pendant la session de formation, les participants pourraient également s'entraîner à créer ces formats de présentation alternatifs, mais gardez à l'esprit qu'il faudra consacrer plus de temps à ce type de travail interactif).</w:t>
      </w:r>
    </w:p>
    <w:p w:rsidR="00C04EA4" w:rsidRPr="000974EC" w:rsidP="00C04EA4" w14:paraId="5FAA8B10" w14:textId="0D386274">
      <w:pPr>
        <w:pStyle w:val="ListParagraph"/>
        <w:numPr>
          <w:ilvl w:val="0"/>
          <w:numId w:val="20"/>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Résumez un point clé des données du tableau en une ou deux phrases pour un public peu habitué à lire des données dans des tableaux ou des graphiques.</w:t>
      </w:r>
    </w:p>
    <w:p w:rsidR="00C04EA4" w:rsidRPr="000974EC" w:rsidP="00C04EA4" w14:paraId="2CA5D4AF" w14:textId="5E6928EC">
      <w:pPr>
        <w:pStyle w:val="ListParagraph"/>
        <w:numPr>
          <w:ilvl w:val="0"/>
          <w:numId w:val="20"/>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 xml:space="preserve">Sur la base de vos interprétations des données, proposez deux formats pour la diffusion de vos conclusions (rapport, mémoire, article de journal, article de blog, vidéo, visualisation de données/ infographie) et les publics à cibler. Pour cette partie de l'exercice, supposez que vous disposiez d'un ensemble plus important de résultats que vous pourriez inclure dans le produit de diffusion. </w:t>
      </w:r>
    </w:p>
    <w:p w:rsidR="00C04EA4" w:rsidP="00C04EA4" w14:paraId="70DCF851" w14:textId="77777777">
      <w:pPr>
        <w:pStyle w:val="ListParagraph"/>
        <w:spacing w:line="276" w:lineRule="auto"/>
        <w:contextualSpacing w:val="0"/>
        <w:rPr>
          <w:rFonts w:ascii="Gill Sans MT" w:eastAsia="Arial" w:hAnsi="Gill Sans MT" w:cs="Arial"/>
        </w:rPr>
      </w:pPr>
    </w:p>
    <w:p w:rsidR="008A7D65" w:rsidRPr="000974EC" w:rsidP="00C04EA4" w14:paraId="19C606C0" w14:textId="77777777">
      <w:pPr>
        <w:pStyle w:val="ListParagraph"/>
        <w:spacing w:line="276" w:lineRule="auto"/>
        <w:contextualSpacing w:val="0"/>
        <w:rPr>
          <w:rFonts w:ascii="Gill Sans MT" w:eastAsia="Arial" w:hAnsi="Gill Sans MT" w:cs="Arial"/>
        </w:rPr>
      </w:pPr>
    </w:p>
    <w:p w:rsidR="00C04EA4" w:rsidRPr="00C04EA4" w:rsidP="00C04EA4" w14:paraId="73A5888C" w14:textId="1FDF7C62">
      <w:pPr>
        <w:bidi w:val="0"/>
        <w:spacing w:after="0" w:line="276" w:lineRule="auto"/>
        <w:rPr>
          <w:rFonts w:eastAsia="Arial" w:cs="Arial"/>
          <w:b/>
          <w:szCs w:val="24"/>
        </w:rPr>
      </w:pPr>
      <w:r>
        <w:rPr>
          <w:rFonts w:eastAsia="Arial" w:cs="Arial"/>
          <w:b/>
          <w:szCs w:val="24"/>
          <w:rtl w:val="0"/>
          <w:lang w:val="fr"/>
        </w:rPr>
        <w:t>Discussion en petits groupes</w:t>
      </w:r>
    </w:p>
    <w:p w:rsidR="005566AD" w:rsidP="00C04EA4" w14:paraId="6BBC1FAB" w14:textId="6BEFD313">
      <w:pPr>
        <w:pStyle w:val="ListParagraph"/>
        <w:numPr>
          <w:ilvl w:val="0"/>
          <w:numId w:val="17"/>
        </w:numPr>
        <w:bidi w:val="0"/>
        <w:spacing w:line="276" w:lineRule="auto"/>
        <w:contextualSpacing w:val="0"/>
        <w:rPr>
          <w:rFonts w:ascii="Gill Sans MT" w:eastAsia="Arial" w:hAnsi="Gill Sans MT" w:cs="Arial"/>
        </w:rPr>
      </w:pPr>
      <w:r>
        <w:rPr>
          <w:rFonts w:ascii="Gill Sans MT" w:eastAsia="Arial" w:hAnsi="Gill Sans MT" w:cs="Arial"/>
          <w:rtl w:val="0"/>
          <w:lang w:val="fr"/>
        </w:rPr>
        <w:t xml:space="preserve">Quels formats de présentation alternatifs chaque participant a-t-il choisi ? Quels sont les avantages et/ou les inconvénients de ces choix ? </w:t>
      </w:r>
    </w:p>
    <w:p w:rsidR="00C04EA4" w:rsidRPr="000974EC" w:rsidP="00C04EA4" w14:paraId="30745C65" w14:textId="77777777">
      <w:pPr>
        <w:pStyle w:val="ListParagraph"/>
        <w:numPr>
          <w:ilvl w:val="0"/>
          <w:numId w:val="17"/>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 xml:space="preserve">Quels défis avez-vous rencontrés au cours de cet exercice ? </w:t>
      </w:r>
    </w:p>
    <w:p w:rsidR="00C04EA4" w:rsidRPr="000974EC" w:rsidP="00C04EA4" w14:paraId="7B095A24" w14:textId="77777777">
      <w:pPr>
        <w:pStyle w:val="ListParagraph"/>
        <w:numPr>
          <w:ilvl w:val="0"/>
          <w:numId w:val="17"/>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Sur la base des options de diffusion que vous choisissez, votre organisation ou votre projet semble-t-il être bien placé pour les adopter dans le cadre de travaux existants positionnement ?</w:t>
      </w:r>
    </w:p>
    <w:p w:rsidR="00C04EA4" w:rsidRPr="000974EC" w:rsidP="00C04EA4" w14:paraId="30D413E9" w14:textId="77777777">
      <w:pPr>
        <w:pStyle w:val="ListParagraph"/>
        <w:numPr>
          <w:ilvl w:val="1"/>
          <w:numId w:val="17"/>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Pourquoi ou pourquoi pas ?</w:t>
      </w:r>
    </w:p>
    <w:p w:rsidR="00C04EA4" w:rsidRPr="000974EC" w:rsidP="00C04EA4" w14:paraId="530C9CCC" w14:textId="77777777">
      <w:pPr>
        <w:spacing w:after="0" w:line="276" w:lineRule="auto"/>
        <w:rPr>
          <w:szCs w:val="24"/>
        </w:rPr>
      </w:pPr>
    </w:p>
    <w:p w:rsidR="00C04EA4" w:rsidRPr="000974EC" w:rsidP="00C04EA4" w14:paraId="54FCAAAA" w14:textId="5BB3919E">
      <w:pPr>
        <w:bidi w:val="0"/>
        <w:spacing w:after="0" w:line="276" w:lineRule="auto"/>
        <w:rPr>
          <w:szCs w:val="24"/>
        </w:rPr>
      </w:pPr>
      <w:r w:rsidRPr="000974EC">
        <w:rPr>
          <w:rFonts w:eastAsia="Arial" w:cs="Arial"/>
          <w:szCs w:val="24"/>
          <w:rtl w:val="0"/>
          <w:lang w:val="fr"/>
        </w:rPr>
        <w:t xml:space="preserve">Demandez à quelques participants de partager les points de discussion de leur petit groupe avec l'ensemble du groupe. Posez-leur les questions suivantes : </w:t>
      </w:r>
    </w:p>
    <w:p w:rsidR="00C04EA4" w:rsidRPr="000974EC" w:rsidP="00C04EA4" w14:paraId="7C2C0D47" w14:textId="77777777">
      <w:pPr>
        <w:pStyle w:val="ListParagraph"/>
        <w:numPr>
          <w:ilvl w:val="0"/>
          <w:numId w:val="17"/>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Que vous a dit quelqu'un d'autre ?</w:t>
      </w:r>
    </w:p>
    <w:p w:rsidR="00C04EA4" w:rsidRPr="000974EC" w:rsidP="00C04EA4" w14:paraId="41064E9C" w14:textId="77777777">
      <w:pPr>
        <w:pStyle w:val="ListParagraph"/>
        <w:numPr>
          <w:ilvl w:val="0"/>
          <w:numId w:val="17"/>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Qu'est-ce que vous n'avez pas trouvé utile ou pertinent pour votre programme ?</w:t>
      </w:r>
    </w:p>
    <w:p w:rsidR="00C04EA4" w:rsidRPr="000974EC" w:rsidP="00C04EA4" w14:paraId="2A028D37" w14:textId="77777777">
      <w:pPr>
        <w:pStyle w:val="ListParagraph"/>
        <w:numPr>
          <w:ilvl w:val="0"/>
          <w:numId w:val="17"/>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Qu'avez-vous trouvé de surprenant ?</w:t>
      </w:r>
    </w:p>
    <w:p w:rsidR="005872CD" w:rsidRPr="000130F4" w:rsidP="005872CD" w14:paraId="59E48596" w14:textId="77777777">
      <w:pPr>
        <w:widowControl w:val="0"/>
        <w:spacing w:after="0" w:line="276" w:lineRule="auto"/>
        <w:rPr>
          <w:rFonts w:eastAsia="Arial" w:cs="Arial"/>
          <w:szCs w:val="24"/>
        </w:rPr>
      </w:pPr>
    </w:p>
    <w:p w:rsidR="005872CD" w:rsidP="005872CD" w14:paraId="4320C5DB"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1447DA3A"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38B8D8F"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3BC25A0D"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A0579EB"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F22F401"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6AF796B7"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375DC7D8"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3C86989"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5872CD" w:rsidP="000C6114" w14:paraId="629940C6" w14:textId="12E64852">
      <w:pPr>
        <w:pStyle w:val="Title"/>
        <w:widowControl w:val="0"/>
        <w:bidi w:val="0"/>
        <w:spacing w:before="160" w:after="160" w:line="276" w:lineRule="auto"/>
        <w:contextualSpacing w:val="0"/>
        <w:rPr>
          <w:rFonts w:ascii="Gill Sans MT" w:eastAsia="Quattrocento Sans" w:hAnsi="Gill Sans MT" w:cs="Quattrocento Sans"/>
          <w:b/>
          <w:caps w:val="0"/>
          <w:sz w:val="28"/>
          <w:szCs w:val="24"/>
        </w:rPr>
      </w:pPr>
      <w:r>
        <w:rPr>
          <w:rFonts w:ascii="Gill Sans MT" w:eastAsia="Quattrocento Sans" w:hAnsi="Gill Sans MT" w:cs="Quattrocento Sans"/>
          <w:b/>
          <w:caps w:val="0"/>
          <w:sz w:val="28"/>
          <w:szCs w:val="24"/>
          <w:rtl w:val="0"/>
          <w:lang w:val="fr"/>
        </w:rPr>
        <w:t>Feuille d'exercice</w:t>
      </w:r>
    </w:p>
    <w:p w:rsidR="00C04EA4" w:rsidRPr="000974EC" w:rsidP="00C04EA4" w14:paraId="1E9FD6C7" w14:textId="2771372D">
      <w:pPr>
        <w:pStyle w:val="ListParagraph"/>
        <w:numPr>
          <w:ilvl w:val="0"/>
          <w:numId w:val="22"/>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 xml:space="preserve">Explorez les données présentées dans le tableau de la page suivante et décrivez deux autres façons de présenter les points clés des données, par exemple à l'aide d'un diagramme à barres, d'un graphique linéaire ou d'un autre type de tableau. Vous n'êtes pas obligé d'utiliser toutes les données dans vos présentations alternatives. </w:t>
      </w:r>
    </w:p>
    <w:p w:rsidR="00C04EA4" w:rsidRPr="000974EC" w:rsidP="00C04EA4" w14:paraId="74FF403F" w14:textId="77777777">
      <w:pPr>
        <w:pStyle w:val="ListParagraph"/>
        <w:spacing w:line="276" w:lineRule="auto"/>
        <w:contextualSpacing w:val="0"/>
        <w:rPr>
          <w:rFonts w:ascii="Gill Sans MT" w:eastAsia="Arial" w:hAnsi="Gill Sans MT" w:cs="Arial"/>
        </w:rPr>
      </w:pPr>
    </w:p>
    <w:p w:rsidR="00C04EA4" w:rsidRPr="000974EC" w:rsidP="00C04EA4" w14:paraId="7F509450" w14:textId="77777777">
      <w:pPr>
        <w:pStyle w:val="ListParagraph"/>
        <w:spacing w:line="276" w:lineRule="auto"/>
        <w:contextualSpacing w:val="0"/>
        <w:rPr>
          <w:rFonts w:ascii="Gill Sans MT" w:eastAsia="Arial" w:hAnsi="Gill Sans MT" w:cs="Arial"/>
        </w:rPr>
      </w:pPr>
    </w:p>
    <w:p w:rsidR="00C04EA4" w:rsidRPr="000974EC" w:rsidP="00C04EA4" w14:paraId="5156C2C3" w14:textId="77777777">
      <w:pPr>
        <w:pStyle w:val="ListParagraph"/>
        <w:spacing w:line="276" w:lineRule="auto"/>
        <w:contextualSpacing w:val="0"/>
        <w:rPr>
          <w:rFonts w:ascii="Gill Sans MT" w:eastAsia="Arial" w:hAnsi="Gill Sans MT" w:cs="Arial"/>
        </w:rPr>
      </w:pPr>
    </w:p>
    <w:p w:rsidR="00C04EA4" w:rsidRPr="000974EC" w:rsidP="00C04EA4" w14:paraId="087A9CDE" w14:textId="77777777">
      <w:pPr>
        <w:pStyle w:val="ListParagraph"/>
        <w:spacing w:line="276" w:lineRule="auto"/>
        <w:contextualSpacing w:val="0"/>
        <w:rPr>
          <w:rFonts w:ascii="Gill Sans MT" w:eastAsia="Arial" w:hAnsi="Gill Sans MT" w:cs="Arial"/>
        </w:rPr>
      </w:pPr>
    </w:p>
    <w:p w:rsidR="00C04EA4" w:rsidRPr="000974EC" w:rsidP="00C04EA4" w14:paraId="62E0A4F2" w14:textId="77777777">
      <w:pPr>
        <w:pStyle w:val="ListParagraph"/>
        <w:spacing w:line="276" w:lineRule="auto"/>
        <w:contextualSpacing w:val="0"/>
        <w:rPr>
          <w:rFonts w:ascii="Gill Sans MT" w:eastAsia="Arial" w:hAnsi="Gill Sans MT" w:cs="Arial"/>
        </w:rPr>
      </w:pPr>
    </w:p>
    <w:p w:rsidR="00C04EA4" w:rsidRPr="000974EC" w:rsidP="00C04EA4" w14:paraId="5F24CFDF" w14:textId="77777777">
      <w:pPr>
        <w:pStyle w:val="ListParagraph"/>
        <w:spacing w:line="276" w:lineRule="auto"/>
        <w:contextualSpacing w:val="0"/>
        <w:rPr>
          <w:rFonts w:ascii="Gill Sans MT" w:eastAsia="Arial" w:hAnsi="Gill Sans MT" w:cs="Arial"/>
        </w:rPr>
      </w:pPr>
    </w:p>
    <w:p w:rsidR="00C04EA4" w:rsidRPr="000974EC" w:rsidP="00C04EA4" w14:paraId="224796CC" w14:textId="77777777">
      <w:pPr>
        <w:pStyle w:val="ListParagraph"/>
        <w:spacing w:line="276" w:lineRule="auto"/>
        <w:contextualSpacing w:val="0"/>
        <w:rPr>
          <w:rFonts w:ascii="Gill Sans MT" w:eastAsia="Arial" w:hAnsi="Gill Sans MT" w:cs="Arial"/>
        </w:rPr>
      </w:pPr>
    </w:p>
    <w:p w:rsidR="00C04EA4" w:rsidRPr="00C04EA4" w:rsidP="00C04EA4" w14:paraId="32AFF230" w14:textId="77777777">
      <w:pPr>
        <w:spacing w:line="276" w:lineRule="auto"/>
        <w:rPr>
          <w:rFonts w:eastAsia="Arial" w:cs="Arial"/>
        </w:rPr>
      </w:pPr>
    </w:p>
    <w:p w:rsidR="00C04EA4" w:rsidRPr="000974EC" w:rsidP="00C04EA4" w14:paraId="22EADC54" w14:textId="77777777">
      <w:pPr>
        <w:pStyle w:val="ListParagraph"/>
        <w:numPr>
          <w:ilvl w:val="0"/>
          <w:numId w:val="22"/>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Résumez un point clé des données du tableau en une ou deux phrases pour un public qui n'est pas habitué à lire des données dans des tableaux ou des graphiques.</w:t>
      </w:r>
    </w:p>
    <w:p w:rsidR="00C04EA4" w:rsidRPr="000974EC" w:rsidP="00C04EA4" w14:paraId="27134188" w14:textId="77777777">
      <w:pPr>
        <w:pStyle w:val="ListParagraph"/>
        <w:spacing w:line="276" w:lineRule="auto"/>
        <w:contextualSpacing w:val="0"/>
        <w:rPr>
          <w:rFonts w:ascii="Gill Sans MT" w:eastAsia="Arial" w:hAnsi="Gill Sans MT" w:cs="Arial"/>
        </w:rPr>
      </w:pPr>
    </w:p>
    <w:p w:rsidR="00C04EA4" w:rsidRPr="000974EC" w:rsidP="00C04EA4" w14:paraId="28C5CF08" w14:textId="77777777">
      <w:pPr>
        <w:pStyle w:val="ListParagraph"/>
        <w:spacing w:line="276" w:lineRule="auto"/>
        <w:contextualSpacing w:val="0"/>
        <w:rPr>
          <w:rFonts w:ascii="Gill Sans MT" w:eastAsia="Arial" w:hAnsi="Gill Sans MT" w:cs="Arial"/>
        </w:rPr>
      </w:pPr>
    </w:p>
    <w:p w:rsidR="00C04EA4" w:rsidRPr="000974EC" w:rsidP="00C04EA4" w14:paraId="47A42A77" w14:textId="77777777">
      <w:pPr>
        <w:pStyle w:val="ListParagraph"/>
        <w:spacing w:line="276" w:lineRule="auto"/>
        <w:contextualSpacing w:val="0"/>
        <w:rPr>
          <w:rFonts w:ascii="Gill Sans MT" w:eastAsia="Arial" w:hAnsi="Gill Sans MT" w:cs="Arial"/>
        </w:rPr>
      </w:pPr>
    </w:p>
    <w:p w:rsidR="00C04EA4" w:rsidRPr="000974EC" w:rsidP="00C04EA4" w14:paraId="7FFDF8C9" w14:textId="77777777">
      <w:pPr>
        <w:pStyle w:val="ListParagraph"/>
        <w:spacing w:line="276" w:lineRule="auto"/>
        <w:contextualSpacing w:val="0"/>
        <w:rPr>
          <w:rFonts w:ascii="Gill Sans MT" w:eastAsia="Arial" w:hAnsi="Gill Sans MT" w:cs="Arial"/>
        </w:rPr>
      </w:pPr>
    </w:p>
    <w:p w:rsidR="00C04EA4" w:rsidP="00C04EA4" w14:paraId="4D3E23E4" w14:textId="77777777">
      <w:pPr>
        <w:pStyle w:val="ListParagraph"/>
        <w:spacing w:line="276" w:lineRule="auto"/>
        <w:contextualSpacing w:val="0"/>
        <w:rPr>
          <w:rFonts w:ascii="Gill Sans MT" w:eastAsia="Arial" w:hAnsi="Gill Sans MT" w:cs="Arial"/>
        </w:rPr>
      </w:pPr>
    </w:p>
    <w:p w:rsidR="00C04EA4" w:rsidRPr="000974EC" w:rsidP="00C04EA4" w14:paraId="507D50CB" w14:textId="77777777">
      <w:pPr>
        <w:pStyle w:val="ListParagraph"/>
        <w:spacing w:line="276" w:lineRule="auto"/>
        <w:contextualSpacing w:val="0"/>
        <w:rPr>
          <w:rFonts w:ascii="Gill Sans MT" w:eastAsia="Arial" w:hAnsi="Gill Sans MT" w:cs="Arial"/>
        </w:rPr>
      </w:pPr>
    </w:p>
    <w:p w:rsidR="00C04EA4" w:rsidRPr="000974EC" w:rsidP="00C04EA4" w14:paraId="63F3B8D1" w14:textId="77777777">
      <w:pPr>
        <w:pStyle w:val="ListParagraph"/>
        <w:spacing w:line="276" w:lineRule="auto"/>
        <w:contextualSpacing w:val="0"/>
        <w:rPr>
          <w:rFonts w:ascii="Gill Sans MT" w:eastAsia="Arial" w:hAnsi="Gill Sans MT" w:cs="Arial"/>
        </w:rPr>
      </w:pPr>
    </w:p>
    <w:p w:rsidR="00C04EA4" w:rsidRPr="00C04EA4" w:rsidP="00C04EA4" w14:paraId="1DDE57DF" w14:textId="5239F114">
      <w:pPr>
        <w:spacing w:line="276" w:lineRule="auto"/>
        <w:rPr>
          <w:rFonts w:eastAsia="Arial" w:cs="Arial"/>
        </w:rPr>
      </w:pPr>
    </w:p>
    <w:p w:rsidR="00C04EA4" w:rsidRPr="000974EC" w:rsidP="00C04EA4" w14:paraId="75DDC613" w14:textId="59726664">
      <w:pPr>
        <w:pStyle w:val="ListParagraph"/>
        <w:numPr>
          <w:ilvl w:val="0"/>
          <w:numId w:val="22"/>
        </w:numPr>
        <w:bidi w:val="0"/>
        <w:spacing w:line="276" w:lineRule="auto"/>
        <w:contextualSpacing w:val="0"/>
        <w:rPr>
          <w:rFonts w:ascii="Gill Sans MT" w:eastAsia="Arial" w:hAnsi="Gill Sans MT" w:cs="Arial"/>
        </w:rPr>
      </w:pPr>
      <w:r w:rsidRPr="000974EC">
        <w:rPr>
          <w:rFonts w:ascii="Gill Sans MT" w:eastAsia="Arial" w:hAnsi="Gill Sans MT" w:cs="Arial"/>
          <w:rtl w:val="0"/>
          <w:lang w:val="fr"/>
        </w:rPr>
        <w:t xml:space="preserve">Sur la base de vos interprétations des données, proposez deux formats pour la diffusion de vos conclusions (rapport, mémoire, article de journal, article de blog, vidéo, visualisation de données/ infographie) et les publics à cibler. </w:t>
      </w:r>
    </w:p>
    <w:p w:rsidR="00C04EA4" w:rsidRPr="000974EC" w:rsidP="00C04EA4" w14:paraId="5804AC5B" w14:textId="77777777">
      <w:pPr>
        <w:spacing w:after="0" w:line="276" w:lineRule="auto"/>
        <w:rPr>
          <w:rFonts w:eastAsia="Quattrocento Sans" w:cs="Quattrocento Sans"/>
          <w:color w:val="17365D"/>
          <w:szCs w:val="24"/>
        </w:rPr>
      </w:pPr>
      <w:r w:rsidRPr="000974EC">
        <w:rPr>
          <w:rFonts w:eastAsia="Quattrocento Sans" w:cs="Quattrocento Sans"/>
          <w:szCs w:val="24"/>
        </w:rPr>
        <w:br w:type="page"/>
      </w:r>
    </w:p>
    <w:p w:rsidR="00C04EA4" w:rsidP="00C04EA4" w14:paraId="77B327C7" w14:textId="4592ACF0">
      <w:pPr>
        <w:bidi w:val="0"/>
        <w:spacing w:after="0" w:line="276" w:lineRule="auto"/>
        <w:rPr>
          <w:rFonts w:eastAsia="Quattrocento Sans" w:cs="Quattrocento Sans"/>
          <w:szCs w:val="24"/>
        </w:rPr>
      </w:pPr>
      <w:r w:rsidRPr="000974EC">
        <w:rPr>
          <w:rFonts w:eastAsia="Quattrocento Sans" w:cs="Quattrocento Sans"/>
          <w:szCs w:val="24"/>
          <w:rtl w:val="0"/>
          <w:lang w:val="fr"/>
        </w:rPr>
        <w:t xml:space="preserve">Différences dans l'environnement de conseil au fil du temps et selon les districts de contrôle et de traitement. </w:t>
      </w:r>
    </w:p>
    <w:p w:rsidR="008A7D65" w:rsidRPr="000974EC" w:rsidP="00C04EA4" w14:paraId="0750E5F5" w14:textId="77777777">
      <w:pPr>
        <w:spacing w:after="0" w:line="276" w:lineRule="auto"/>
        <w:rPr>
          <w:szCs w:val="24"/>
        </w:rPr>
      </w:pPr>
    </w:p>
    <w:tbl>
      <w:tblPr>
        <w:tblStyle w:val="TableGrid"/>
        <w:tblW w:w="0" w:type="auto"/>
        <w:tblLook w:val="04A0"/>
      </w:tblPr>
      <w:tblGrid>
        <w:gridCol w:w="5447"/>
        <w:gridCol w:w="1953"/>
        <w:gridCol w:w="1950"/>
      </w:tblGrid>
      <w:tr w14:paraId="1022D8F7" w14:textId="77777777" w:rsidTr="00492380">
        <w:tblPrEx>
          <w:tblW w:w="0" w:type="auto"/>
          <w:tblLook w:val="04A0"/>
        </w:tblPrEx>
        <w:tc>
          <w:tcPr>
            <w:tcW w:w="5598" w:type="dxa"/>
            <w:shd w:val="clear" w:color="auto" w:fill="007EA5"/>
          </w:tcPr>
          <w:p w:rsidR="00C04EA4" w:rsidRPr="00C04EA4" w:rsidP="00C04EA4" w14:paraId="71630910" w14:textId="77777777">
            <w:pPr>
              <w:pStyle w:val="Title"/>
              <w:widowControl w:val="0"/>
              <w:spacing w:after="0" w:line="276" w:lineRule="auto"/>
              <w:contextualSpacing w:val="0"/>
              <w:jc w:val="center"/>
              <w:rPr>
                <w:rFonts w:ascii="Gill Sans MT" w:hAnsi="Gill Sans MT"/>
                <w:b/>
                <w:bCs/>
                <w:caps w:val="0"/>
                <w:color w:val="FFFFFF" w:themeColor="background1"/>
                <w:kern w:val="0"/>
                <w:sz w:val="22"/>
                <w:szCs w:val="22"/>
              </w:rPr>
            </w:pPr>
          </w:p>
        </w:tc>
        <w:tc>
          <w:tcPr>
            <w:tcW w:w="1989" w:type="dxa"/>
            <w:shd w:val="clear" w:color="auto" w:fill="007EA5"/>
          </w:tcPr>
          <w:p w:rsidR="00C04EA4" w:rsidRPr="00C04EA4" w:rsidP="00492380" w14:paraId="735D958A" w14:textId="4D76723D">
            <w:pPr>
              <w:pStyle w:val="Title"/>
              <w:widowControl w:val="0"/>
              <w:bidi w:val="0"/>
              <w:spacing w:after="0" w:line="276" w:lineRule="auto"/>
              <w:contextualSpacing w:val="0"/>
              <w:jc w:val="center"/>
              <w:rPr>
                <w:rFonts w:ascii="Gill Sans MT" w:hAnsi="Gill Sans MT"/>
                <w:b/>
                <w:bCs/>
                <w:caps w:val="0"/>
                <w:color w:val="FFFFFF" w:themeColor="background1"/>
                <w:kern w:val="0"/>
                <w:sz w:val="22"/>
                <w:szCs w:val="22"/>
              </w:rPr>
            </w:pPr>
            <w:r w:rsidRPr="00C04EA4">
              <w:rPr>
                <w:rFonts w:ascii="Gill Sans MT" w:hAnsi="Gill Sans MT"/>
                <w:b/>
                <w:bCs/>
                <w:caps w:val="0"/>
                <w:color w:val="FFFFFF" w:themeColor="background1"/>
                <w:kern w:val="0"/>
                <w:sz w:val="22"/>
                <w:szCs w:val="22"/>
                <w:rtl w:val="0"/>
                <w:lang w:val="fr"/>
              </w:rPr>
              <w:t>Mesure de départ (%)</w:t>
            </w:r>
          </w:p>
        </w:tc>
        <w:tc>
          <w:tcPr>
            <w:tcW w:w="1989" w:type="dxa"/>
            <w:shd w:val="clear" w:color="auto" w:fill="007EA5"/>
          </w:tcPr>
          <w:p w:rsidR="00C04EA4" w:rsidRPr="00C04EA4" w:rsidP="00492380" w14:paraId="7F5F8FF6" w14:textId="54095B69">
            <w:pPr>
              <w:pStyle w:val="Title"/>
              <w:widowControl w:val="0"/>
              <w:bidi w:val="0"/>
              <w:spacing w:after="0" w:line="276" w:lineRule="auto"/>
              <w:contextualSpacing w:val="0"/>
              <w:jc w:val="center"/>
              <w:rPr>
                <w:rFonts w:ascii="Gill Sans MT" w:hAnsi="Gill Sans MT"/>
                <w:b/>
                <w:bCs/>
                <w:caps w:val="0"/>
                <w:color w:val="FFFFFF" w:themeColor="background1"/>
                <w:kern w:val="0"/>
                <w:sz w:val="22"/>
                <w:szCs w:val="22"/>
              </w:rPr>
            </w:pPr>
            <w:r w:rsidRPr="00C04EA4">
              <w:rPr>
                <w:rFonts w:ascii="Gill Sans MT" w:hAnsi="Gill Sans MT"/>
                <w:b/>
                <w:bCs/>
                <w:caps w:val="0"/>
                <w:color w:val="FFFFFF" w:themeColor="background1"/>
                <w:kern w:val="0"/>
                <w:sz w:val="22"/>
                <w:szCs w:val="22"/>
                <w:rtl w:val="0"/>
                <w:lang w:val="fr"/>
              </w:rPr>
              <w:t>Mesure finale (%)</w:t>
            </w:r>
          </w:p>
        </w:tc>
      </w:tr>
      <w:tr w14:paraId="79CCDF0D" w14:textId="77777777" w:rsidTr="00492380">
        <w:tblPrEx>
          <w:tblW w:w="0" w:type="auto"/>
          <w:tblLook w:val="04A0"/>
        </w:tblPrEx>
        <w:tc>
          <w:tcPr>
            <w:tcW w:w="5598" w:type="dxa"/>
          </w:tcPr>
          <w:p w:rsidR="00C04EA4" w:rsidP="00C04EA4" w14:paraId="62BE5E63" w14:textId="6E2C3F51">
            <w:pPr>
              <w:pStyle w:val="Title"/>
              <w:widowControl w:val="0"/>
              <w:bidi w:val="0"/>
              <w:spacing w:after="0" w:line="276" w:lineRule="auto"/>
              <w:contextualSpacing w:val="0"/>
              <w:rPr>
                <w:rFonts w:ascii="Gill Sans MT" w:hAnsi="Gill Sans MT"/>
                <w:b/>
                <w:bCs/>
                <w:caps w:val="0"/>
                <w:sz w:val="22"/>
                <w:szCs w:val="22"/>
              </w:rPr>
            </w:pPr>
            <w:r w:rsidRPr="00C04EA4">
              <w:rPr>
                <w:rFonts w:ascii="Gill Sans MT" w:hAnsi="Gill Sans MT"/>
                <w:b/>
                <w:bCs/>
                <w:caps w:val="0"/>
                <w:sz w:val="22"/>
                <w:szCs w:val="22"/>
                <w:rtl w:val="0"/>
                <w:lang w:val="fr"/>
              </w:rPr>
              <w:t>Les contraceptifs réversibles à action prolongée « long-acting reversible contraceptives (LARCs) » recommandés par les agents de santé</w:t>
            </w:r>
          </w:p>
          <w:p w:rsidR="00C04EA4" w:rsidRPr="00C04EA4" w:rsidP="00C04EA4" w14:paraId="4AD87C7A" w14:textId="77777777">
            <w:pPr>
              <w:pStyle w:val="Title"/>
              <w:widowControl w:val="0"/>
              <w:bidi w:val="0"/>
              <w:spacing w:after="0" w:line="276" w:lineRule="auto"/>
              <w:contextualSpacing w:val="0"/>
              <w:jc w:val="right"/>
              <w:rPr>
                <w:rFonts w:ascii="Gill Sans MT" w:hAnsi="Gill Sans MT"/>
                <w:bCs/>
                <w:caps w:val="0"/>
                <w:sz w:val="22"/>
                <w:szCs w:val="22"/>
              </w:rPr>
            </w:pPr>
            <w:r w:rsidRPr="00C04EA4">
              <w:rPr>
                <w:rFonts w:ascii="Gill Sans MT" w:hAnsi="Gill Sans MT"/>
                <w:bCs/>
                <w:caps w:val="0"/>
                <w:sz w:val="22"/>
                <w:szCs w:val="22"/>
                <w:rtl w:val="0"/>
                <w:lang w:val="fr"/>
              </w:rPr>
              <w:t>Contrôle</w:t>
            </w:r>
          </w:p>
          <w:p w:rsidR="00C04EA4" w:rsidRPr="00C04EA4" w:rsidP="00C04EA4" w14:paraId="23EA344E" w14:textId="3285EEF4">
            <w:pPr>
              <w:pStyle w:val="Title"/>
              <w:widowControl w:val="0"/>
              <w:bidi w:val="0"/>
              <w:spacing w:after="0" w:line="276" w:lineRule="auto"/>
              <w:contextualSpacing w:val="0"/>
              <w:jc w:val="right"/>
              <w:rPr>
                <w:rFonts w:ascii="Gill Sans MT" w:hAnsi="Gill Sans MT"/>
                <w:b/>
                <w:bCs/>
                <w:caps w:val="0"/>
                <w:sz w:val="22"/>
                <w:szCs w:val="22"/>
              </w:rPr>
            </w:pPr>
            <w:r w:rsidRPr="00C04EA4">
              <w:rPr>
                <w:rFonts w:ascii="Gill Sans MT" w:hAnsi="Gill Sans MT"/>
                <w:bCs/>
                <w:caps w:val="0"/>
                <w:sz w:val="22"/>
                <w:szCs w:val="22"/>
                <w:rtl w:val="0"/>
                <w:lang w:val="fr"/>
              </w:rPr>
              <w:t>Traitement.</w:t>
            </w:r>
          </w:p>
        </w:tc>
        <w:tc>
          <w:tcPr>
            <w:tcW w:w="1989" w:type="dxa"/>
          </w:tcPr>
          <w:p w:rsidR="00C04EA4" w:rsidRPr="00C04EA4" w:rsidP="00492380" w14:paraId="3E7E4168" w14:textId="77777777">
            <w:pPr>
              <w:pStyle w:val="Title"/>
              <w:widowControl w:val="0"/>
              <w:spacing w:after="0" w:line="276" w:lineRule="auto"/>
              <w:contextualSpacing w:val="0"/>
              <w:jc w:val="center"/>
              <w:rPr>
                <w:rFonts w:ascii="Gill Sans MT" w:hAnsi="Gill Sans MT"/>
                <w:bCs/>
                <w:caps w:val="0"/>
                <w:sz w:val="22"/>
                <w:szCs w:val="22"/>
              </w:rPr>
            </w:pPr>
          </w:p>
          <w:p w:rsidR="00C04EA4" w:rsidRPr="00C04EA4" w:rsidP="00492380" w14:paraId="0C9FF95E" w14:textId="77777777">
            <w:pPr>
              <w:pStyle w:val="Title"/>
              <w:widowControl w:val="0"/>
              <w:bidi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tl w:val="0"/>
                <w:lang w:val="fr"/>
              </w:rPr>
              <w:t>30,2</w:t>
            </w:r>
          </w:p>
          <w:p w:rsidR="00C04EA4" w:rsidRPr="00C04EA4" w:rsidP="00492380" w14:paraId="76A0D6E1" w14:textId="39C08AD0">
            <w:pPr>
              <w:pStyle w:val="Title"/>
              <w:widowControl w:val="0"/>
              <w:bidi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tl w:val="0"/>
                <w:lang w:val="fr"/>
              </w:rPr>
              <w:t>26,5</w:t>
            </w:r>
          </w:p>
        </w:tc>
        <w:tc>
          <w:tcPr>
            <w:tcW w:w="1989" w:type="dxa"/>
          </w:tcPr>
          <w:p w:rsidR="00C04EA4" w:rsidRPr="00C04EA4" w:rsidP="00492380" w14:paraId="2A9A2E99" w14:textId="77777777">
            <w:pPr>
              <w:pStyle w:val="Title"/>
              <w:widowControl w:val="0"/>
              <w:spacing w:after="0" w:line="276" w:lineRule="auto"/>
              <w:contextualSpacing w:val="0"/>
              <w:jc w:val="center"/>
              <w:rPr>
                <w:rFonts w:ascii="Gill Sans MT" w:hAnsi="Gill Sans MT"/>
                <w:bCs/>
                <w:caps w:val="0"/>
                <w:sz w:val="22"/>
                <w:szCs w:val="22"/>
              </w:rPr>
            </w:pPr>
          </w:p>
          <w:p w:rsidR="00C04EA4" w:rsidRPr="00C04EA4" w:rsidP="00492380" w14:paraId="77FA5FAC" w14:textId="77777777">
            <w:pPr>
              <w:pStyle w:val="Title"/>
              <w:widowControl w:val="0"/>
              <w:bidi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tl w:val="0"/>
                <w:lang w:val="fr"/>
              </w:rPr>
              <w:t>24,4</w:t>
            </w:r>
          </w:p>
          <w:p w:rsidR="00C04EA4" w:rsidRPr="00C04EA4" w:rsidP="00492380" w14:paraId="6AE54D21" w14:textId="247B8C28">
            <w:pPr>
              <w:pStyle w:val="Title"/>
              <w:widowControl w:val="0"/>
              <w:bidi w:val="0"/>
              <w:spacing w:after="0" w:line="276" w:lineRule="auto"/>
              <w:contextualSpacing w:val="0"/>
              <w:jc w:val="center"/>
              <w:rPr>
                <w:rFonts w:ascii="Gill Sans MT" w:hAnsi="Gill Sans MT"/>
                <w:bCs/>
                <w:caps w:val="0"/>
                <w:sz w:val="22"/>
                <w:szCs w:val="22"/>
              </w:rPr>
            </w:pPr>
            <w:r w:rsidRPr="00C04EA4">
              <w:rPr>
                <w:rFonts w:ascii="Gill Sans MT" w:hAnsi="Gill Sans MT"/>
                <w:bCs/>
                <w:caps w:val="0"/>
                <w:sz w:val="22"/>
                <w:szCs w:val="22"/>
                <w:rtl w:val="0"/>
                <w:lang w:val="fr"/>
              </w:rPr>
              <w:t>40,2</w:t>
            </w:r>
          </w:p>
        </w:tc>
      </w:tr>
      <w:tr w14:paraId="4C4DA478" w14:textId="77777777" w:rsidTr="00492380">
        <w:tblPrEx>
          <w:tblW w:w="0" w:type="auto"/>
          <w:tblLook w:val="04A0"/>
        </w:tblPrEx>
        <w:tc>
          <w:tcPr>
            <w:tcW w:w="5598" w:type="dxa"/>
          </w:tcPr>
          <w:p w:rsidR="00C04EA4" w:rsidP="00C04EA4" w14:paraId="572CC91A" w14:textId="5B353D3F">
            <w:pPr>
              <w:pStyle w:val="Title"/>
              <w:widowControl w:val="0"/>
              <w:bidi w:val="0"/>
              <w:spacing w:after="0" w:line="276" w:lineRule="auto"/>
              <w:contextualSpacing w:val="0"/>
              <w:rPr>
                <w:rFonts w:ascii="Gill Sans MT" w:hAnsi="Gill Sans MT"/>
                <w:b/>
                <w:bCs/>
                <w:caps w:val="0"/>
                <w:sz w:val="22"/>
                <w:szCs w:val="22"/>
              </w:rPr>
            </w:pPr>
            <w:r>
              <w:rPr>
                <w:rFonts w:ascii="Gill Sans MT" w:hAnsi="Gill Sans MT"/>
                <w:b/>
                <w:bCs/>
                <w:caps w:val="0"/>
                <w:sz w:val="22"/>
                <w:szCs w:val="22"/>
                <w:rtl w:val="0"/>
                <w:lang w:val="fr"/>
              </w:rPr>
              <w:t>Les patients sont informés des effets secondaires,</w:t>
            </w:r>
          </w:p>
          <w:p w:rsidR="00C04EA4" w:rsidRPr="00C04EA4" w:rsidP="00C04EA4" w14:paraId="66BF8E8F" w14:textId="4B820445">
            <w:pPr>
              <w:pStyle w:val="Title"/>
              <w:widowControl w:val="0"/>
              <w:bidi w:val="0"/>
              <w:spacing w:after="0" w:line="276" w:lineRule="auto"/>
              <w:contextualSpacing w:val="0"/>
              <w:jc w:val="right"/>
              <w:rPr>
                <w:rFonts w:ascii="Gill Sans MT" w:hAnsi="Gill Sans MT"/>
                <w:bCs/>
                <w:caps w:val="0"/>
                <w:sz w:val="22"/>
                <w:szCs w:val="22"/>
              </w:rPr>
            </w:pPr>
            <w:r w:rsidRPr="00C04EA4">
              <w:rPr>
                <w:rFonts w:ascii="Gill Sans MT" w:hAnsi="Gill Sans MT"/>
                <w:bCs/>
                <w:caps w:val="0"/>
                <w:sz w:val="22"/>
                <w:szCs w:val="22"/>
                <w:rtl w:val="0"/>
                <w:lang w:val="fr"/>
              </w:rPr>
              <w:t>Contrôle</w:t>
            </w:r>
          </w:p>
          <w:p w:rsidR="00C04EA4" w:rsidRPr="00C04EA4" w:rsidP="00C04EA4" w14:paraId="4395DD80" w14:textId="1B2574DD">
            <w:pPr>
              <w:pStyle w:val="Title"/>
              <w:widowControl w:val="0"/>
              <w:bidi w:val="0"/>
              <w:spacing w:after="0" w:line="276" w:lineRule="auto"/>
              <w:contextualSpacing w:val="0"/>
              <w:jc w:val="right"/>
              <w:rPr>
                <w:rFonts w:ascii="Gill Sans MT" w:hAnsi="Gill Sans MT"/>
                <w:b/>
                <w:bCs/>
                <w:caps w:val="0"/>
                <w:sz w:val="22"/>
                <w:szCs w:val="22"/>
              </w:rPr>
            </w:pPr>
            <w:r w:rsidRPr="00C04EA4">
              <w:rPr>
                <w:rFonts w:ascii="Gill Sans MT" w:hAnsi="Gill Sans MT"/>
                <w:bCs/>
                <w:caps w:val="0"/>
                <w:sz w:val="22"/>
                <w:szCs w:val="22"/>
                <w:rtl w:val="0"/>
                <w:lang w:val="fr"/>
              </w:rPr>
              <w:t>Traitement.</w:t>
            </w:r>
          </w:p>
        </w:tc>
        <w:tc>
          <w:tcPr>
            <w:tcW w:w="1989" w:type="dxa"/>
          </w:tcPr>
          <w:p w:rsidR="00C04EA4" w:rsidRPr="00492380" w:rsidP="00492380" w14:paraId="32BC8E15" w14:textId="77777777">
            <w:pPr>
              <w:pStyle w:val="Title"/>
              <w:widowControl w:val="0"/>
              <w:spacing w:after="0" w:line="276" w:lineRule="auto"/>
              <w:contextualSpacing w:val="0"/>
              <w:jc w:val="center"/>
              <w:rPr>
                <w:rFonts w:ascii="Gill Sans MT" w:hAnsi="Gill Sans MT"/>
                <w:bCs/>
                <w:caps w:val="0"/>
                <w:sz w:val="22"/>
                <w:szCs w:val="22"/>
              </w:rPr>
            </w:pPr>
          </w:p>
          <w:p w:rsidR="00C04EA4" w:rsidRPr="00492380" w:rsidP="00492380" w14:paraId="06A39446" w14:textId="77777777">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30,9</w:t>
            </w:r>
          </w:p>
          <w:p w:rsidR="00C04EA4" w:rsidRPr="00492380" w:rsidP="00492380" w14:paraId="3B445485" w14:textId="49BFE1D7">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39,4</w:t>
            </w:r>
          </w:p>
        </w:tc>
        <w:tc>
          <w:tcPr>
            <w:tcW w:w="1989" w:type="dxa"/>
          </w:tcPr>
          <w:p w:rsidR="00492380" w:rsidRPr="00492380" w:rsidP="00492380" w14:paraId="19F2A821" w14:textId="77777777">
            <w:pPr>
              <w:pStyle w:val="Title"/>
              <w:widowControl w:val="0"/>
              <w:spacing w:after="0" w:line="276" w:lineRule="auto"/>
              <w:contextualSpacing w:val="0"/>
              <w:jc w:val="center"/>
              <w:rPr>
                <w:rFonts w:ascii="Gill Sans MT" w:hAnsi="Gill Sans MT"/>
                <w:bCs/>
                <w:caps w:val="0"/>
                <w:sz w:val="22"/>
                <w:szCs w:val="22"/>
              </w:rPr>
            </w:pPr>
          </w:p>
          <w:p w:rsidR="00C04EA4" w:rsidRPr="00492380" w:rsidP="00492380" w14:paraId="6147E3B3" w14:textId="77777777">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26,2</w:t>
            </w:r>
          </w:p>
          <w:p w:rsidR="00C04EA4" w:rsidRPr="00492380" w:rsidP="00492380" w14:paraId="675F4101" w14:textId="2DBD4699">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30,9</w:t>
            </w:r>
          </w:p>
        </w:tc>
      </w:tr>
      <w:tr w14:paraId="38485149" w14:textId="77777777" w:rsidTr="00492380">
        <w:tblPrEx>
          <w:tblW w:w="0" w:type="auto"/>
          <w:tblLook w:val="04A0"/>
        </w:tblPrEx>
        <w:tc>
          <w:tcPr>
            <w:tcW w:w="5598" w:type="dxa"/>
          </w:tcPr>
          <w:p w:rsidR="00C04EA4" w:rsidP="00C04EA4" w14:paraId="217280F1" w14:textId="1DF727C4">
            <w:pPr>
              <w:pStyle w:val="Title"/>
              <w:widowControl w:val="0"/>
              <w:bidi w:val="0"/>
              <w:spacing w:after="0" w:line="276" w:lineRule="auto"/>
              <w:contextualSpacing w:val="0"/>
              <w:rPr>
                <w:rFonts w:ascii="Gill Sans MT" w:hAnsi="Gill Sans MT"/>
                <w:b/>
                <w:bCs/>
                <w:caps w:val="0"/>
                <w:sz w:val="22"/>
                <w:szCs w:val="22"/>
              </w:rPr>
            </w:pPr>
            <w:r>
              <w:rPr>
                <w:rFonts w:ascii="Gill Sans MT" w:hAnsi="Gill Sans MT"/>
                <w:b/>
                <w:bCs/>
                <w:caps w:val="0"/>
                <w:sz w:val="22"/>
                <w:szCs w:val="22"/>
                <w:rtl w:val="0"/>
                <w:lang w:val="fr"/>
              </w:rPr>
              <w:t>Les patients sont informés de la marche à suivre en cas d'effets secondaires.</w:t>
            </w:r>
          </w:p>
          <w:p w:rsidR="00C04EA4" w:rsidRPr="00C04EA4" w:rsidP="00C04EA4" w14:paraId="40C9572C" w14:textId="77777777">
            <w:pPr>
              <w:pStyle w:val="Title"/>
              <w:widowControl w:val="0"/>
              <w:bidi w:val="0"/>
              <w:spacing w:after="0" w:line="276" w:lineRule="auto"/>
              <w:contextualSpacing w:val="0"/>
              <w:jc w:val="right"/>
              <w:rPr>
                <w:rFonts w:ascii="Gill Sans MT" w:hAnsi="Gill Sans MT"/>
                <w:bCs/>
                <w:caps w:val="0"/>
                <w:sz w:val="22"/>
                <w:szCs w:val="22"/>
              </w:rPr>
            </w:pPr>
            <w:r w:rsidRPr="00C04EA4">
              <w:rPr>
                <w:rFonts w:ascii="Gill Sans MT" w:hAnsi="Gill Sans MT"/>
                <w:bCs/>
                <w:caps w:val="0"/>
                <w:sz w:val="22"/>
                <w:szCs w:val="22"/>
                <w:rtl w:val="0"/>
                <w:lang w:val="fr"/>
              </w:rPr>
              <w:t>Contrôle</w:t>
            </w:r>
          </w:p>
          <w:p w:rsidR="00C04EA4" w:rsidRPr="00C04EA4" w:rsidP="00C04EA4" w14:paraId="59AB7904" w14:textId="0722009D">
            <w:pPr>
              <w:pStyle w:val="Title"/>
              <w:widowControl w:val="0"/>
              <w:bidi w:val="0"/>
              <w:spacing w:after="0" w:line="276" w:lineRule="auto"/>
              <w:contextualSpacing w:val="0"/>
              <w:jc w:val="right"/>
              <w:rPr>
                <w:rFonts w:ascii="Gill Sans MT" w:hAnsi="Gill Sans MT"/>
                <w:b/>
                <w:bCs/>
                <w:caps w:val="0"/>
                <w:sz w:val="22"/>
                <w:szCs w:val="22"/>
              </w:rPr>
            </w:pPr>
            <w:r w:rsidRPr="00C04EA4">
              <w:rPr>
                <w:rFonts w:ascii="Gill Sans MT" w:hAnsi="Gill Sans MT"/>
                <w:bCs/>
                <w:caps w:val="0"/>
                <w:sz w:val="22"/>
                <w:szCs w:val="22"/>
                <w:rtl w:val="0"/>
                <w:lang w:val="fr"/>
              </w:rPr>
              <w:t>Traitement.</w:t>
            </w:r>
          </w:p>
        </w:tc>
        <w:tc>
          <w:tcPr>
            <w:tcW w:w="1989" w:type="dxa"/>
          </w:tcPr>
          <w:p w:rsidR="00C04EA4" w:rsidRPr="00492380" w:rsidP="00492380" w14:paraId="0D28C8AB" w14:textId="77777777">
            <w:pPr>
              <w:pStyle w:val="Title"/>
              <w:widowControl w:val="0"/>
              <w:spacing w:after="0" w:line="276" w:lineRule="auto"/>
              <w:contextualSpacing w:val="0"/>
              <w:jc w:val="center"/>
              <w:rPr>
                <w:rFonts w:ascii="Gill Sans MT" w:hAnsi="Gill Sans MT"/>
                <w:bCs/>
                <w:caps w:val="0"/>
                <w:sz w:val="22"/>
                <w:szCs w:val="22"/>
              </w:rPr>
            </w:pPr>
          </w:p>
          <w:p w:rsidR="00492380" w:rsidRPr="00492380" w:rsidP="00492380" w14:paraId="70A6F0F4" w14:textId="77777777">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25,5</w:t>
            </w:r>
          </w:p>
          <w:p w:rsidR="00492380" w:rsidRPr="00492380" w:rsidP="00492380" w14:paraId="5B95C529" w14:textId="19C85088">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25,8</w:t>
            </w:r>
          </w:p>
        </w:tc>
        <w:tc>
          <w:tcPr>
            <w:tcW w:w="1989" w:type="dxa"/>
          </w:tcPr>
          <w:p w:rsidR="00C04EA4" w:rsidRPr="00492380" w:rsidP="00492380" w14:paraId="34C630CC" w14:textId="77777777">
            <w:pPr>
              <w:pStyle w:val="Title"/>
              <w:widowControl w:val="0"/>
              <w:spacing w:after="0" w:line="276" w:lineRule="auto"/>
              <w:contextualSpacing w:val="0"/>
              <w:jc w:val="center"/>
              <w:rPr>
                <w:rFonts w:ascii="Gill Sans MT" w:hAnsi="Gill Sans MT"/>
                <w:bCs/>
                <w:caps w:val="0"/>
                <w:sz w:val="22"/>
                <w:szCs w:val="22"/>
              </w:rPr>
            </w:pPr>
          </w:p>
          <w:p w:rsidR="00492380" w:rsidRPr="00492380" w:rsidP="00492380" w14:paraId="324ACF36" w14:textId="77777777">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20,2</w:t>
            </w:r>
          </w:p>
          <w:p w:rsidR="00492380" w:rsidRPr="00492380" w:rsidP="00492380" w14:paraId="224E7E19" w14:textId="35885441">
            <w:pPr>
              <w:pStyle w:val="Title"/>
              <w:widowControl w:val="0"/>
              <w:bidi w:val="0"/>
              <w:spacing w:after="0" w:line="276" w:lineRule="auto"/>
              <w:contextualSpacing w:val="0"/>
              <w:jc w:val="center"/>
              <w:rPr>
                <w:rFonts w:ascii="Gill Sans MT" w:hAnsi="Gill Sans MT"/>
                <w:bCs/>
                <w:caps w:val="0"/>
                <w:sz w:val="22"/>
                <w:szCs w:val="22"/>
              </w:rPr>
            </w:pPr>
            <w:r w:rsidRPr="00492380">
              <w:rPr>
                <w:rFonts w:ascii="Gill Sans MT" w:hAnsi="Gill Sans MT"/>
                <w:bCs/>
                <w:caps w:val="0"/>
                <w:sz w:val="22"/>
                <w:szCs w:val="22"/>
                <w:rtl w:val="0"/>
                <w:lang w:val="fr"/>
              </w:rPr>
              <w:t>23,3</w:t>
            </w:r>
          </w:p>
        </w:tc>
      </w:tr>
    </w:tbl>
    <w:p w:rsidR="00BE3D01" w:rsidP="00C04EA4" w14:paraId="248630F4" w14:textId="77777777">
      <w:pPr>
        <w:pStyle w:val="NormalWeb"/>
        <w:spacing w:before="0" w:beforeAutospacing="0" w:after="0" w:afterAutospacing="0"/>
        <w:rPr>
          <w:rFonts w:ascii="Gill Sans MT" w:hAnsi="Gill Sans MT" w:cstheme="minorBidi"/>
          <w:bCs/>
          <w:color w:val="000000"/>
          <w:kern w:val="24"/>
        </w:rPr>
      </w:pPr>
    </w:p>
    <w:p w:rsidR="00BE3D01" w:rsidRPr="00BE3D01" w:rsidP="00C04EA4" w14:paraId="5BB67B89" w14:textId="6677FF33">
      <w:pPr>
        <w:pStyle w:val="NormalWeb"/>
        <w:bidi w:val="0"/>
        <w:spacing w:before="0" w:beforeAutospacing="0" w:after="0" w:afterAutospacing="0"/>
        <w:rPr>
          <w:rFonts w:ascii="Gill Sans MT" w:hAnsi="Gill Sans MT" w:cstheme="minorBidi"/>
          <w:bCs/>
          <w:color w:val="000000"/>
          <w:kern w:val="24"/>
        </w:rPr>
      </w:pPr>
      <w:r w:rsidRPr="00BE3D01">
        <w:rPr>
          <w:rFonts w:ascii="Gill Sans MT" w:hAnsi="Gill Sans MT" w:cstheme="minorBidi"/>
          <w:bCs/>
          <w:color w:val="000000"/>
          <w:kern w:val="24"/>
          <w:rtl w:val="0"/>
          <w:lang w:val="fr"/>
        </w:rPr>
        <w:t>Abréviation : LARC = contraceptifs réversibles à action prolongée « long-acting reversible contraceptives (LARCs) ».</w:t>
      </w:r>
    </w:p>
    <w:p w:rsidR="00C04EA4" w:rsidRPr="00C04EA4" w:rsidP="00C04EA4" w14:paraId="799677F7" w14:textId="7D16726C">
      <w:pPr>
        <w:pStyle w:val="NormalWeb"/>
        <w:bidi w:val="0"/>
        <w:spacing w:before="0" w:beforeAutospacing="0" w:after="0" w:afterAutospacing="0"/>
        <w:rPr>
          <w:rFonts w:ascii="Gill Sans MT" w:hAnsi="Gill Sans MT"/>
        </w:rPr>
      </w:pPr>
      <w:r w:rsidRPr="00BE3D01">
        <w:rPr>
          <w:rFonts w:ascii="Gill Sans MT" w:hAnsi="Gill Sans MT" w:cstheme="minorBidi"/>
          <w:bCs/>
          <w:color w:val="000000"/>
          <w:kern w:val="24"/>
          <w:rtl w:val="0"/>
          <w:lang w:val="fr"/>
        </w:rPr>
        <w:t>Source : Enquêtes initiales et finales sur l'intégration de méthodes contraceptives mixtes « Integrating Contraceptive Method Mix (ICMM) », n = 46 702.</w:t>
      </w:r>
    </w:p>
    <w:p w:rsidR="00C04EA4" w:rsidRPr="000C6114" w:rsidP="000C6114" w14:paraId="6028000A" w14:textId="77777777">
      <w:pPr>
        <w:pStyle w:val="Title"/>
        <w:widowControl w:val="0"/>
        <w:spacing w:before="160" w:after="160" w:line="276" w:lineRule="auto"/>
        <w:contextualSpacing w:val="0"/>
        <w:rPr>
          <w:rFonts w:ascii="Gill Sans MT" w:hAnsi="Gill Sans MT"/>
          <w:b/>
          <w:sz w:val="28"/>
          <w:szCs w:val="24"/>
        </w:rPr>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3A2E32" w:rsidP="00703F2E" w14:paraId="6BF1239C" w14:textId="77777777">
        <w:pPr>
          <w:pStyle w:val="Footer"/>
          <w:jc w:val="right"/>
        </w:pPr>
        <w:r>
          <w:fldChar w:fldCharType="begin"/>
        </w:r>
        <w:r>
          <w:instrText xml:space="preserve"> PAGE   \* MERGEFORMAT </w:instrText>
        </w:r>
        <w:r>
          <w:fldChar w:fldCharType="separate"/>
        </w:r>
        <w:r w:rsidR="00BA53FF">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3A2E32" w14:paraId="4CF90735" w14:textId="08975DBC">
        <w:pPr>
          <w:pStyle w:val="Footer"/>
          <w:jc w:val="right"/>
        </w:pPr>
        <w:r>
          <w:fldChar w:fldCharType="begin"/>
        </w:r>
        <w:r>
          <w:instrText xml:space="preserve"> PAGE   \* MERGEFORMAT </w:instrText>
        </w:r>
        <w:r>
          <w:fldChar w:fldCharType="separate"/>
        </w:r>
        <w:r w:rsidR="00BA53FF">
          <w:rPr>
            <w:noProof/>
          </w:rPr>
          <w:t>1</w:t>
        </w:r>
        <w:r>
          <w:rPr>
            <w:noProof/>
          </w:rPr>
          <w:fldChar w:fldCharType="end"/>
        </w:r>
      </w:p>
    </w:sdtContent>
  </w:sdt>
  <w:p w:rsidR="007451B5" w:rsidRPr="000E7712" w:rsidP="007451B5" w14:paraId="68224DB4" w14:textId="77777777">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3A2E32" w:rsidRPr="00092279" w:rsidP="007451B5" w14:paraId="6BE7372C" w14:textId="073DC7B0">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E32"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E32"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319558"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40E3FB3"/>
    <w:multiLevelType w:val="hybridMultilevel"/>
    <w:tmpl w:val="035A11B6"/>
    <w:lvl w:ilvl="0">
      <w:start w:val="1"/>
      <w:numFmt w:val="bullet"/>
      <w:lvlText w:val="•"/>
      <w:lvlJc w:val="left"/>
      <w:pPr>
        <w:tabs>
          <w:tab w:val="num" w:pos="720"/>
        </w:tabs>
        <w:ind w:left="720" w:hanging="360"/>
      </w:pPr>
      <w:rPr>
        <w:rFonts w:ascii="Arial" w:hAnsi="Arial" w:hint="default"/>
      </w:rPr>
    </w:lvl>
    <w:lvl w:ilvl="1">
      <w:start w:val="0"/>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09C048F6"/>
    <w:multiLevelType w:val="hybridMultilevel"/>
    <w:tmpl w:val="0B761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7CC2FB6"/>
    <w:multiLevelType w:val="hybridMultilevel"/>
    <w:tmpl w:val="1D3287C4"/>
    <w:lvl w:ilvl="0">
      <w:start w:val="1"/>
      <w:numFmt w:val="bullet"/>
      <w:lvlText w:val="•"/>
      <w:lvlJc w:val="left"/>
      <w:pPr>
        <w:tabs>
          <w:tab w:val="num" w:pos="720"/>
        </w:tabs>
        <w:ind w:left="720" w:hanging="360"/>
      </w:pPr>
      <w:rPr>
        <w:rFonts w:ascii="Times" w:hAnsi="Times" w:hint="default"/>
      </w:rPr>
    </w:lvl>
    <w:lvl w:ilvl="1">
      <w:start w:val="0"/>
      <w:numFmt w:val="bullet"/>
      <w:lvlText w:val="•"/>
      <w:lvlJc w:val="left"/>
      <w:pPr>
        <w:tabs>
          <w:tab w:val="num" w:pos="1440"/>
        </w:tabs>
        <w:ind w:left="1440" w:hanging="360"/>
      </w:pPr>
      <w:rPr>
        <w:rFonts w:ascii="Times" w:hAnsi="Times" w:hint="default"/>
      </w:rPr>
    </w:lvl>
    <w:lvl w:ilvl="2" w:tentative="1">
      <w:start w:val="1"/>
      <w:numFmt w:val="bullet"/>
      <w:lvlText w:val="•"/>
      <w:lvlJc w:val="left"/>
      <w:pPr>
        <w:tabs>
          <w:tab w:val="num" w:pos="2160"/>
        </w:tabs>
        <w:ind w:left="2160" w:hanging="360"/>
      </w:pPr>
      <w:rPr>
        <w:rFonts w:ascii="Times" w:hAnsi="Times" w:hint="default"/>
      </w:rPr>
    </w:lvl>
    <w:lvl w:ilvl="3" w:tentative="1">
      <w:start w:val="1"/>
      <w:numFmt w:val="bullet"/>
      <w:lvlText w:val="•"/>
      <w:lvlJc w:val="left"/>
      <w:pPr>
        <w:tabs>
          <w:tab w:val="num" w:pos="2880"/>
        </w:tabs>
        <w:ind w:left="2880" w:hanging="360"/>
      </w:pPr>
      <w:rPr>
        <w:rFonts w:ascii="Times" w:hAnsi="Times" w:hint="default"/>
      </w:rPr>
    </w:lvl>
    <w:lvl w:ilvl="4" w:tentative="1">
      <w:start w:val="1"/>
      <w:numFmt w:val="bullet"/>
      <w:lvlText w:val="•"/>
      <w:lvlJc w:val="left"/>
      <w:pPr>
        <w:tabs>
          <w:tab w:val="num" w:pos="3600"/>
        </w:tabs>
        <w:ind w:left="3600" w:hanging="360"/>
      </w:pPr>
      <w:rPr>
        <w:rFonts w:ascii="Times" w:hAnsi="Times" w:hint="default"/>
      </w:rPr>
    </w:lvl>
    <w:lvl w:ilvl="5" w:tentative="1">
      <w:start w:val="1"/>
      <w:numFmt w:val="bullet"/>
      <w:lvlText w:val="•"/>
      <w:lvlJc w:val="left"/>
      <w:pPr>
        <w:tabs>
          <w:tab w:val="num" w:pos="4320"/>
        </w:tabs>
        <w:ind w:left="4320" w:hanging="360"/>
      </w:pPr>
      <w:rPr>
        <w:rFonts w:ascii="Times" w:hAnsi="Times" w:hint="default"/>
      </w:rPr>
    </w:lvl>
    <w:lvl w:ilvl="6" w:tentative="1">
      <w:start w:val="1"/>
      <w:numFmt w:val="bullet"/>
      <w:lvlText w:val="•"/>
      <w:lvlJc w:val="left"/>
      <w:pPr>
        <w:tabs>
          <w:tab w:val="num" w:pos="5040"/>
        </w:tabs>
        <w:ind w:left="5040" w:hanging="360"/>
      </w:pPr>
      <w:rPr>
        <w:rFonts w:ascii="Times" w:hAnsi="Times" w:hint="default"/>
      </w:rPr>
    </w:lvl>
    <w:lvl w:ilvl="7" w:tentative="1">
      <w:start w:val="1"/>
      <w:numFmt w:val="bullet"/>
      <w:lvlText w:val="•"/>
      <w:lvlJc w:val="left"/>
      <w:pPr>
        <w:tabs>
          <w:tab w:val="num" w:pos="5760"/>
        </w:tabs>
        <w:ind w:left="5760" w:hanging="360"/>
      </w:pPr>
      <w:rPr>
        <w:rFonts w:ascii="Times" w:hAnsi="Times" w:hint="default"/>
      </w:rPr>
    </w:lvl>
    <w:lvl w:ilvl="8" w:tentative="1">
      <w:start w:val="1"/>
      <w:numFmt w:val="bullet"/>
      <w:lvlText w:val="•"/>
      <w:lvlJc w:val="left"/>
      <w:pPr>
        <w:tabs>
          <w:tab w:val="num" w:pos="6480"/>
        </w:tabs>
        <w:ind w:left="6480" w:hanging="360"/>
      </w:pPr>
      <w:rPr>
        <w:rFonts w:ascii="Times" w:hAnsi="Times" w:hint="default"/>
      </w:rPr>
    </w:lvl>
  </w:abstractNum>
  <w:abstractNum w:abstractNumId="9">
    <w:nsid w:val="1B2C26A2"/>
    <w:multiLevelType w:val="hybridMultilevel"/>
    <w:tmpl w:val="9C0637B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F5A41DC"/>
    <w:multiLevelType w:val="hybridMultilevel"/>
    <w:tmpl w:val="C33444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F4371EF"/>
    <w:multiLevelType w:val="hybridMultilevel"/>
    <w:tmpl w:val="829C36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9EA06B4"/>
    <w:multiLevelType w:val="hybridMultilevel"/>
    <w:tmpl w:val="B0264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A32B1A"/>
    <w:multiLevelType w:val="hybridMultilevel"/>
    <w:tmpl w:val="902083D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3641E76"/>
    <w:multiLevelType w:val="hybridMultilevel"/>
    <w:tmpl w:val="B260BA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AFD118F"/>
    <w:multiLevelType w:val="hybridMultilevel"/>
    <w:tmpl w:val="B260BA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E240B41"/>
    <w:multiLevelType w:val="hybridMultilevel"/>
    <w:tmpl w:val="DA5ED8E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0"/>
  </w:num>
  <w:num w:numId="4">
    <w:abstractNumId w:val="16"/>
  </w:num>
  <w:num w:numId="5">
    <w:abstractNumId w:val="4"/>
  </w:num>
  <w:num w:numId="6">
    <w:abstractNumId w:val="7"/>
  </w:num>
  <w:num w:numId="7">
    <w:abstractNumId w:val="6"/>
  </w:num>
  <w:num w:numId="8">
    <w:abstractNumId w:val="12"/>
  </w:num>
  <w:num w:numId="9">
    <w:abstractNumId w:val="20"/>
  </w:num>
  <w:num w:numId="10">
    <w:abstractNumId w:val="11"/>
  </w:num>
  <w:num w:numId="11">
    <w:abstractNumId w:val="5"/>
  </w:num>
  <w:num w:numId="12">
    <w:abstractNumId w:val="17"/>
  </w:num>
  <w:num w:numId="13">
    <w:abstractNumId w:val="21"/>
  </w:num>
  <w:num w:numId="14">
    <w:abstractNumId w:val="15"/>
  </w:num>
  <w:num w:numId="15">
    <w:abstractNumId w:val="13"/>
  </w:num>
  <w:num w:numId="16">
    <w:abstractNumId w:val="3"/>
  </w:num>
  <w:num w:numId="17">
    <w:abstractNumId w:val="18"/>
  </w:num>
  <w:num w:numId="18">
    <w:abstractNumId w:val="14"/>
  </w:num>
  <w:num w:numId="19">
    <w:abstractNumId w:val="8"/>
  </w:num>
  <w:num w:numId="20">
    <w:abstractNumId w:val="22"/>
  </w:num>
  <w:num w:numId="21">
    <w:abstractNumId w:val="2"/>
  </w:num>
  <w:num w:numId="22">
    <w:abstractNumId w:val="23"/>
  </w:num>
  <w:num w:numId="23">
    <w:abstractNumId w:val="9"/>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30F4"/>
    <w:rsid w:val="0003659B"/>
    <w:rsid w:val="00083866"/>
    <w:rsid w:val="00092279"/>
    <w:rsid w:val="000974EC"/>
    <w:rsid w:val="000B0A08"/>
    <w:rsid w:val="000C6114"/>
    <w:rsid w:val="000E7712"/>
    <w:rsid w:val="000F7AA9"/>
    <w:rsid w:val="00181E13"/>
    <w:rsid w:val="00194099"/>
    <w:rsid w:val="001A7791"/>
    <w:rsid w:val="001C0DA3"/>
    <w:rsid w:val="001C281B"/>
    <w:rsid w:val="00206B10"/>
    <w:rsid w:val="00250AA8"/>
    <w:rsid w:val="00263913"/>
    <w:rsid w:val="00275ACF"/>
    <w:rsid w:val="002A73BD"/>
    <w:rsid w:val="002D3A6B"/>
    <w:rsid w:val="0030070D"/>
    <w:rsid w:val="003121B9"/>
    <w:rsid w:val="00313DB9"/>
    <w:rsid w:val="00332EA5"/>
    <w:rsid w:val="003A2E32"/>
    <w:rsid w:val="003D1A71"/>
    <w:rsid w:val="003D694B"/>
    <w:rsid w:val="003D75BB"/>
    <w:rsid w:val="00492380"/>
    <w:rsid w:val="004D32EA"/>
    <w:rsid w:val="004F118D"/>
    <w:rsid w:val="004F5726"/>
    <w:rsid w:val="0055553D"/>
    <w:rsid w:val="005566AD"/>
    <w:rsid w:val="005655EB"/>
    <w:rsid w:val="005872CD"/>
    <w:rsid w:val="00593A45"/>
    <w:rsid w:val="005F46EB"/>
    <w:rsid w:val="00630F3F"/>
    <w:rsid w:val="00681FE7"/>
    <w:rsid w:val="00703F2E"/>
    <w:rsid w:val="007451B5"/>
    <w:rsid w:val="008A7D65"/>
    <w:rsid w:val="009763B6"/>
    <w:rsid w:val="00983813"/>
    <w:rsid w:val="009923BB"/>
    <w:rsid w:val="009A00FF"/>
    <w:rsid w:val="009B133F"/>
    <w:rsid w:val="009C3275"/>
    <w:rsid w:val="00A43205"/>
    <w:rsid w:val="00A54584"/>
    <w:rsid w:val="00AD26EC"/>
    <w:rsid w:val="00AE1D16"/>
    <w:rsid w:val="00B06816"/>
    <w:rsid w:val="00B54FE5"/>
    <w:rsid w:val="00BA53FF"/>
    <w:rsid w:val="00BA7CA4"/>
    <w:rsid w:val="00BE3D01"/>
    <w:rsid w:val="00C04EA4"/>
    <w:rsid w:val="00C61912"/>
    <w:rsid w:val="00C6377D"/>
    <w:rsid w:val="00CB3DCE"/>
    <w:rsid w:val="00CC2C5D"/>
    <w:rsid w:val="00D05E0A"/>
    <w:rsid w:val="00D23B1E"/>
    <w:rsid w:val="00D904BF"/>
    <w:rsid w:val="00E84E9D"/>
    <w:rsid w:val="00E966B8"/>
    <w:rsid w:val="00EA051F"/>
    <w:rsid w:val="00EF16F0"/>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826709C-2109-4232-BCB8-2791C80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NormalWeb">
    <w:name w:val="Normal (Web)"/>
    <w:basedOn w:val="Normal"/>
    <w:uiPriority w:val="99"/>
    <w:unhideWhenUsed/>
    <w:rsid w:val="00C04EA4"/>
    <w:pPr>
      <w:spacing w:before="100" w:beforeAutospacing="1" w:after="100" w:afterAutospacing="1" w:line="240" w:lineRule="auto"/>
    </w:pPr>
    <w:rPr>
      <w:rFonts w:ascii="Times New Roman" w:hAnsi="Times New Roman" w:eastAsiaTheme="minorEastAsia"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25FD-C1E1-490F-A950-56BB7186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2017-11-07T17:53:00Z</dcterms:created>
  <dcterms:modified xsi:type="dcterms:W3CDTF">2021-07-21T20:24:00Z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