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94099" w:rsidP="008A3A22" w14:paraId="5ADCE4B6" w14:textId="43481FCA">
      <w:pPr>
        <w:pStyle w:val="Title"/>
        <w:bidi w:val="0"/>
        <w:spacing w:before="160" w:after="360" w:line="276" w:lineRule="auto"/>
        <w:contextualSpacing w:val="0"/>
        <w:rPr>
          <w:rFonts w:ascii="Gill Sans MT" w:eastAsia="Quattrocento Sans" w:hAnsi="Gill Sans MT" w:cs="Quattrocento Sans"/>
          <w:b/>
          <w:caps w:val="0"/>
          <w:sz w:val="40"/>
          <w:szCs w:val="48"/>
        </w:rPr>
      </w:pPr>
      <w:r>
        <w:rPr>
          <w:rFonts w:ascii="Gill Sans MT" w:eastAsia="Quattrocento Sans" w:hAnsi="Gill Sans MT" w:cs="Quattrocento Sans"/>
          <w:b/>
          <w:caps w:val="0"/>
          <w:sz w:val="40"/>
          <w:szCs w:val="48"/>
          <w:rtl w:val="0"/>
          <w:lang w:val="fr"/>
        </w:rPr>
        <w:t xml:space="preserve">Exercice : </w:t>
      </w:r>
    </w:p>
    <w:p w:rsidR="00194099" w:rsidRPr="00275ACF" w:rsidP="008A3A22" w14:paraId="673F0C02" w14:textId="3F8EAA05">
      <w:pPr>
        <w:pStyle w:val="Title"/>
        <w:bidi w:val="0"/>
        <w:spacing w:before="160" w:after="360" w:line="276" w:lineRule="auto"/>
        <w:contextualSpacing w:val="0"/>
        <w:rPr>
          <w:rFonts w:ascii="Gill Sans MT" w:eastAsia="Quattrocento Sans" w:hAnsi="Gill Sans MT" w:cs="Quattrocento Sans"/>
          <w:b/>
          <w:sz w:val="40"/>
          <w:szCs w:val="48"/>
        </w:rPr>
      </w:pPr>
      <w:r>
        <w:rPr>
          <w:rFonts w:ascii="Gill Sans MT" w:eastAsia="Quattrocento Sans" w:hAnsi="Gill Sans MT" w:cs="Quattrocento Sans"/>
          <w:b/>
          <w:caps w:val="0"/>
          <w:sz w:val="40"/>
          <w:szCs w:val="48"/>
          <w:rtl w:val="0"/>
          <w:lang w:val="fr"/>
        </w:rPr>
        <w:t>Sélection d'indicateurs pour le suivi des outils et techniques de gestion des connaissances</w:t>
      </w:r>
    </w:p>
    <w:p w:rsidR="009B133F" w:rsidRPr="00E84E9D" w:rsidP="00E84E9D" w14:paraId="1829E4FF" w14:textId="23972AE8">
      <w:pPr>
        <w:widowControl w:val="0"/>
        <w:bidi w:val="0"/>
        <w:spacing w:before="160" w:after="160" w:line="276" w:lineRule="auto"/>
        <w:rPr>
          <w:rFonts w:eastAsiaTheme="majorEastAsia" w:cstheme="majorBidi"/>
          <w:b/>
          <w:sz w:val="28"/>
          <w:szCs w:val="26"/>
        </w:rPr>
      </w:pPr>
      <w:r w:rsidRPr="00E84E9D">
        <w:rPr>
          <w:rFonts w:eastAsiaTheme="majorEastAsia" w:cstheme="majorBidi"/>
          <w:b/>
          <w:sz w:val="28"/>
          <w:szCs w:val="26"/>
          <w:rtl w:val="0"/>
          <w:lang w:val="fr"/>
        </w:rPr>
        <w:t xml:space="preserve">Objectifs </w:t>
      </w:r>
    </w:p>
    <w:p w:rsidR="00666BD5" w:rsidRPr="00476832" w:rsidP="00666BD5" w14:paraId="55617D5D" w14:textId="0218E750">
      <w:pPr>
        <w:numPr>
          <w:ilvl w:val="0"/>
          <w:numId w:val="20"/>
        </w:numPr>
        <w:bidi w:val="0"/>
        <w:spacing w:after="0" w:line="276" w:lineRule="auto"/>
        <w:rPr>
          <w:rFonts w:eastAsia="Arial" w:cs="Arial"/>
          <w:szCs w:val="24"/>
        </w:rPr>
      </w:pPr>
      <w:r>
        <w:rPr>
          <w:rFonts w:eastAsia="Arial" w:cs="Arial"/>
          <w:szCs w:val="24"/>
          <w:rtl w:val="0"/>
          <w:lang w:val="fr"/>
        </w:rPr>
        <w:t>Comprendre quels indicateurs permettront de mesurer la portée, l'engagement et l'utilité des différents outils et techniques de gestion des connaissances (GC).</w:t>
      </w:r>
    </w:p>
    <w:p w:rsidR="00666BD5" w:rsidRPr="00476832" w:rsidP="00666BD5" w14:paraId="18134A01" w14:textId="0B325365">
      <w:pPr>
        <w:numPr>
          <w:ilvl w:val="0"/>
          <w:numId w:val="20"/>
        </w:numPr>
        <w:bidi w:val="0"/>
        <w:spacing w:after="0" w:line="276" w:lineRule="auto"/>
        <w:rPr>
          <w:rFonts w:eastAsia="Arial" w:cs="Arial"/>
          <w:szCs w:val="24"/>
        </w:rPr>
      </w:pPr>
      <w:r>
        <w:rPr>
          <w:rFonts w:eastAsia="Arial" w:cs="Arial"/>
          <w:szCs w:val="24"/>
          <w:rtl w:val="0"/>
          <w:lang w:val="fr"/>
        </w:rPr>
        <w:t>Identifier les sources de données potentielles pour ces indicateurs.</w:t>
      </w:r>
    </w:p>
    <w:p w:rsidR="009B133F" w:rsidRPr="00E84E9D" w:rsidP="00E84E9D" w14:paraId="6196BD53" w14:textId="73125D47">
      <w:pPr>
        <w:bidi w:val="0"/>
        <w:spacing w:before="160" w:after="160" w:line="276" w:lineRule="auto"/>
        <w:rPr>
          <w:rFonts w:eastAsiaTheme="majorEastAsia" w:cstheme="majorBidi"/>
          <w:b/>
          <w:sz w:val="28"/>
          <w:szCs w:val="26"/>
        </w:rPr>
      </w:pPr>
      <w:r w:rsidRPr="00E84E9D">
        <w:rPr>
          <w:rFonts w:eastAsiaTheme="majorEastAsia" w:cstheme="majorBidi"/>
          <w:b/>
          <w:sz w:val="28"/>
          <w:szCs w:val="26"/>
          <w:rtl w:val="0"/>
          <w:lang w:val="fr"/>
        </w:rPr>
        <w:t>Vue d'ensemble</w:t>
      </w:r>
    </w:p>
    <w:p w:rsidR="00666BD5" w:rsidRPr="00476832" w:rsidP="00666BD5" w14:paraId="6D3F2A0F" w14:textId="49CB1632">
      <w:pPr>
        <w:bidi w:val="0"/>
        <w:spacing w:after="0" w:line="276" w:lineRule="auto"/>
        <w:rPr>
          <w:rFonts w:eastAsia="Arial" w:cs="Arial"/>
          <w:szCs w:val="24"/>
        </w:rPr>
      </w:pPr>
      <w:r w:rsidRPr="00476832">
        <w:rPr>
          <w:rFonts w:eastAsia="Arial" w:cs="Arial"/>
          <w:szCs w:val="24"/>
          <w:rtl w:val="0"/>
          <w:lang w:val="fr"/>
        </w:rPr>
        <w:t xml:space="preserve">Le but de cet exercice est d'aider les participants à réfléchir à la sélection d'indicateurs significatifs pour mesurer les outils et techniques de GC. </w:t>
      </w:r>
    </w:p>
    <w:p w:rsidR="009B133F" w:rsidRPr="00E84E9D" w:rsidP="00E84E9D" w14:paraId="22C22D6D" w14:textId="52B981FB">
      <w:p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Temps</w:t>
      </w:r>
    </w:p>
    <w:p w:rsidR="005872CD" w:rsidRPr="000130F4" w:rsidP="005872CD" w14:paraId="5250D576" w14:textId="64461E82">
      <w:pPr>
        <w:widowControl w:val="0"/>
        <w:bidi w:val="0"/>
        <w:spacing w:line="276" w:lineRule="auto"/>
      </w:pPr>
      <w:r>
        <w:rPr>
          <w:rFonts w:eastAsia="Arial" w:cs="Arial"/>
          <w:szCs w:val="24"/>
          <w:rtl w:val="0"/>
          <w:lang w:val="fr"/>
        </w:rPr>
        <w:t>Durée : 60 minutes</w:t>
      </w:r>
    </w:p>
    <w:p w:rsidR="005872CD" w:rsidRPr="004F5726" w:rsidP="005872CD" w14:paraId="0219F48A" w14:textId="09EFC4BB">
      <w:pPr>
        <w:widowControl w:val="0"/>
        <w:bidi w:val="0"/>
        <w:spacing w:after="0" w:line="276" w:lineRule="auto"/>
        <w:rPr>
          <w:rFonts w:eastAsia="Arial" w:cs="Arial"/>
          <w:szCs w:val="24"/>
        </w:rPr>
      </w:pPr>
      <w:r>
        <w:rPr>
          <w:rtl w:val="0"/>
          <w:lang w:val="fr"/>
        </w:rPr>
        <w:t xml:space="preserve">L'animateur doit expliquer l'exercice (10 minutes), laisser le temps aux participants de partager leurs idées en petits groupes (25 minutes), puis permettre aux groupes de faire un compte rendu et de discuter (25 minutes). </w:t>
      </w:r>
    </w:p>
    <w:p w:rsidR="009B133F" w:rsidRPr="00E84E9D" w:rsidP="00E84E9D" w14:paraId="5C6D355E" w14:textId="14CE018C">
      <w:pPr>
        <w:widowControl w:val="0"/>
        <w:bidi w:val="0"/>
        <w:spacing w:before="160" w:after="160" w:line="276" w:lineRule="auto"/>
        <w:rPr>
          <w:sz w:val="28"/>
        </w:rPr>
      </w:pPr>
      <w:r w:rsidRPr="00E84E9D">
        <w:rPr>
          <w:b/>
          <w:sz w:val="28"/>
          <w:szCs w:val="24"/>
          <w:rtl w:val="0"/>
          <w:lang w:val="fr"/>
        </w:rPr>
        <w:t>Étapes de l'activité</w:t>
      </w:r>
    </w:p>
    <w:p w:rsidR="00666BD5" w:rsidRPr="00476832" w:rsidP="00666BD5" w14:paraId="219E56BF" w14:textId="77777777">
      <w:pPr>
        <w:bidi w:val="0"/>
        <w:spacing w:after="0" w:line="276" w:lineRule="auto"/>
        <w:rPr>
          <w:rFonts w:cs="Arial"/>
          <w:b/>
          <w:szCs w:val="24"/>
        </w:rPr>
      </w:pPr>
      <w:r w:rsidRPr="00476832">
        <w:rPr>
          <w:rFonts w:cs="Arial"/>
          <w:b/>
          <w:szCs w:val="24"/>
          <w:rtl w:val="0"/>
          <w:lang w:val="fr"/>
        </w:rPr>
        <w:t>Étape 1 : Remue-méninges sur les indicateurs</w:t>
      </w:r>
    </w:p>
    <w:p w:rsidR="00666BD5" w:rsidRPr="00476832" w:rsidP="00666BD5" w14:paraId="5272980E" w14:textId="23BFA8F7">
      <w:pPr>
        <w:bidi w:val="0"/>
        <w:spacing w:after="0" w:line="276" w:lineRule="auto"/>
        <w:rPr>
          <w:rFonts w:cs="Arial"/>
          <w:szCs w:val="24"/>
        </w:rPr>
      </w:pPr>
      <w:r w:rsidRPr="00476832">
        <w:rPr>
          <w:rFonts w:cs="Arial"/>
          <w:szCs w:val="24"/>
          <w:rtl w:val="0"/>
          <w:lang w:val="fr"/>
        </w:rPr>
        <w:t>Répartissez les participants en quatre groupes sur la base des quatre quadrants de la matrice des outils et techniques de GC : un groupe doit être affecté au quadrant Demander, un deuxième groupe au quadrant Dire, un troisième groupe au quadrant Publier et le quatrième groupe au quadrant Rechercher. Donnez à chaque groupe une impression de la matrice et un récapitulatif de la manière de mesurer les outils et techniques de GC (voir le document plus loin dans ce Guide d'exercices).</w:t>
      </w:r>
    </w:p>
    <w:p w:rsidR="0099327F" w:rsidP="00666BD5" w14:paraId="4E5AF6C6" w14:textId="77777777">
      <w:pPr>
        <w:spacing w:after="0" w:line="276" w:lineRule="auto"/>
        <w:rPr>
          <w:rFonts w:cs="Arial"/>
          <w:szCs w:val="24"/>
        </w:rPr>
      </w:pPr>
    </w:p>
    <w:p w:rsidR="00666BD5" w:rsidP="00666BD5" w14:paraId="1140338B" w14:textId="3607E223">
      <w:pPr>
        <w:bidi w:val="0"/>
        <w:spacing w:after="0" w:line="276" w:lineRule="auto"/>
        <w:rPr>
          <w:rFonts w:cs="Arial"/>
          <w:szCs w:val="24"/>
        </w:rPr>
      </w:pPr>
      <w:r>
        <w:rPr>
          <w:rFonts w:cs="Arial"/>
          <w:szCs w:val="24"/>
          <w:rtl w:val="0"/>
          <w:lang w:val="fr"/>
        </w:rPr>
        <w:t xml:space="preserve">Chaque groupe doit réfléchir à des indicateurs qui, selon lui, permettront de mesurer le succès des approches dans le quadrant qui lui a été attribué, en termes de portée, d'engagement et d'utilité. Chaque groupe doit s'efforcer de développer trois à cinq indicateurs et les sources de données associées pour chaque indicateur. Les participants peuvent également se référer au </w:t>
      </w:r>
      <w:r w:rsidRPr="001D0680">
        <w:rPr>
          <w:rFonts w:cs="Arial"/>
          <w:i/>
          <w:szCs w:val="24"/>
          <w:rtl w:val="0"/>
          <w:lang w:val="fr"/>
        </w:rPr>
        <w:t>Guide de suivi et d'évaluation de la gestion des connaissances dans le programme de santé mondiale « Guide to Monitoring and Evaluating Knowledge Management in Global Health Programs »</w:t>
      </w:r>
      <w:r>
        <w:rPr>
          <w:rFonts w:cs="Arial"/>
          <w:szCs w:val="24"/>
          <w:rtl w:val="0"/>
          <w:lang w:val="fr"/>
        </w:rPr>
        <w:t xml:space="preserve"> (https://www.kmtraining.org/sites/default/files/supplement-guide-monitoring-evaluation-knowledge-managment.pdf) pour des idées d'indicateurs. </w:t>
      </w:r>
    </w:p>
    <w:p w:rsidR="002C0ADD" w:rsidP="00666BD5" w14:paraId="01D4F80D" w14:textId="77777777">
      <w:pPr>
        <w:spacing w:after="0" w:line="276" w:lineRule="auto"/>
        <w:rPr>
          <w:rFonts w:cs="Arial"/>
          <w:szCs w:val="24"/>
        </w:rPr>
      </w:pPr>
    </w:p>
    <w:p w:rsidR="002C0ADD" w:rsidP="00666BD5" w14:paraId="623CAD0A" w14:textId="1201E7F6">
      <w:pPr>
        <w:bidi w:val="0"/>
        <w:spacing w:after="0" w:line="276" w:lineRule="auto"/>
        <w:rPr>
          <w:rFonts w:cs="Arial"/>
          <w:szCs w:val="24"/>
        </w:rPr>
      </w:pPr>
      <w:r>
        <w:rPr>
          <w:rFonts w:cs="Arial"/>
          <w:szCs w:val="24"/>
          <w:rtl w:val="0"/>
          <w:lang w:val="fr"/>
        </w:rPr>
        <w:t>Demandez aux participants de réfléchir aux questions suivantes :</w:t>
      </w:r>
    </w:p>
    <w:p w:rsidR="002C0ADD" w:rsidP="00666BD5" w14:paraId="6E2C8475" w14:textId="3CE27045">
      <w:pPr>
        <w:pStyle w:val="ListParagraph"/>
        <w:numPr>
          <w:ilvl w:val="0"/>
          <w:numId w:val="21"/>
        </w:numPr>
        <w:bidi w:val="0"/>
        <w:spacing w:line="276" w:lineRule="auto"/>
        <w:contextualSpacing w:val="0"/>
        <w:rPr>
          <w:rFonts w:ascii="Gill Sans MT" w:hAnsi="Gill Sans MT" w:cs="Arial"/>
        </w:rPr>
      </w:pPr>
      <w:r>
        <w:rPr>
          <w:rFonts w:ascii="Gill Sans MT" w:hAnsi="Gill Sans MT" w:cs="Arial"/>
          <w:rtl w:val="0"/>
          <w:lang w:val="fr"/>
        </w:rPr>
        <w:t>Examinez les types d'outils et de techniques qui relèvent de chaque quadrant de la matrice.</w:t>
      </w:r>
    </w:p>
    <w:p w:rsidR="002C0ADD" w:rsidP="00666BD5" w14:paraId="66B73260" w14:textId="41F86BE4">
      <w:pPr>
        <w:pStyle w:val="ListParagraph"/>
        <w:numPr>
          <w:ilvl w:val="0"/>
          <w:numId w:val="21"/>
        </w:numPr>
        <w:bidi w:val="0"/>
        <w:spacing w:line="276" w:lineRule="auto"/>
        <w:contextualSpacing w:val="0"/>
        <w:rPr>
          <w:rFonts w:ascii="Gill Sans MT" w:hAnsi="Gill Sans MT" w:cs="Arial"/>
        </w:rPr>
      </w:pPr>
      <w:r>
        <w:rPr>
          <w:rFonts w:ascii="Gill Sans MT" w:hAnsi="Gill Sans MT" w:cs="Arial"/>
          <w:rtl w:val="0"/>
          <w:lang w:val="fr"/>
        </w:rPr>
        <w:t>Examiner comment mesurer la portée, l'engagement et l'utilité des outils et techniques de GC.</w:t>
      </w:r>
    </w:p>
    <w:p w:rsidR="00666BD5" w:rsidRPr="00476832" w:rsidP="00666BD5" w14:paraId="670628E5" w14:textId="66C1966C">
      <w:pPr>
        <w:pStyle w:val="ListParagraph"/>
        <w:numPr>
          <w:ilvl w:val="0"/>
          <w:numId w:val="21"/>
        </w:numPr>
        <w:bidi w:val="0"/>
        <w:spacing w:line="276" w:lineRule="auto"/>
        <w:contextualSpacing w:val="0"/>
        <w:rPr>
          <w:rFonts w:ascii="Gill Sans MT" w:hAnsi="Gill Sans MT" w:cs="Arial"/>
        </w:rPr>
      </w:pPr>
      <w:r>
        <w:rPr>
          <w:rFonts w:ascii="Gill Sans MT" w:hAnsi="Gill Sans MT" w:cs="Arial"/>
          <w:rtl w:val="0"/>
          <w:lang w:val="fr"/>
        </w:rPr>
        <w:t xml:space="preserve">Identifiez comment vous pourriez mesurer les outils et techniques inclus dans votre quadrant. </w:t>
      </w:r>
    </w:p>
    <w:p w:rsidR="00666BD5" w:rsidRPr="00476832" w:rsidP="00666BD5" w14:paraId="725BCB61" w14:textId="77777777">
      <w:pPr>
        <w:pStyle w:val="ListParagraph"/>
        <w:numPr>
          <w:ilvl w:val="0"/>
          <w:numId w:val="21"/>
        </w:numPr>
        <w:bidi w:val="0"/>
        <w:spacing w:line="276" w:lineRule="auto"/>
        <w:contextualSpacing w:val="0"/>
        <w:rPr>
          <w:rFonts w:ascii="Gill Sans MT" w:hAnsi="Gill Sans MT" w:cs="Arial"/>
        </w:rPr>
      </w:pPr>
      <w:r w:rsidRPr="00476832">
        <w:rPr>
          <w:rFonts w:ascii="Gill Sans MT" w:hAnsi="Gill Sans MT" w:cs="Arial"/>
          <w:rtl w:val="0"/>
          <w:lang w:val="fr"/>
        </w:rPr>
        <w:t xml:space="preserve">Discutez des sources de données que vous utiliserez pour capturer l'information. </w:t>
      </w:r>
    </w:p>
    <w:p w:rsidR="00666BD5" w:rsidRPr="00476832" w:rsidP="00666BD5" w14:paraId="4696418C" w14:textId="77777777">
      <w:pPr>
        <w:pStyle w:val="ListParagraph"/>
        <w:numPr>
          <w:ilvl w:val="0"/>
          <w:numId w:val="21"/>
        </w:numPr>
        <w:bidi w:val="0"/>
        <w:spacing w:line="276" w:lineRule="auto"/>
        <w:contextualSpacing w:val="0"/>
        <w:rPr>
          <w:rFonts w:ascii="Gill Sans MT" w:hAnsi="Gill Sans MT" w:cs="Arial"/>
        </w:rPr>
      </w:pPr>
      <w:r w:rsidRPr="00476832">
        <w:rPr>
          <w:rFonts w:ascii="Gill Sans MT" w:hAnsi="Gill Sans MT" w:cs="Arial"/>
          <w:rtl w:val="0"/>
          <w:lang w:val="fr"/>
        </w:rPr>
        <w:t xml:space="preserve">Discutez de la fréquence à laquelle vous devrez saisir les données. </w:t>
      </w:r>
    </w:p>
    <w:p w:rsidR="00666BD5" w:rsidRPr="00476832" w:rsidP="00666BD5" w14:paraId="0D5D74B3" w14:textId="750DCB77">
      <w:pPr>
        <w:pStyle w:val="ListParagraph"/>
        <w:numPr>
          <w:ilvl w:val="0"/>
          <w:numId w:val="21"/>
        </w:numPr>
        <w:bidi w:val="0"/>
        <w:spacing w:line="276" w:lineRule="auto"/>
        <w:contextualSpacing w:val="0"/>
        <w:rPr>
          <w:rFonts w:ascii="Gill Sans MT" w:hAnsi="Gill Sans MT" w:cs="Arial"/>
        </w:rPr>
      </w:pPr>
      <w:r w:rsidRPr="00476832">
        <w:rPr>
          <w:rFonts w:ascii="Gill Sans MT" w:hAnsi="Gill Sans MT" w:cs="Arial"/>
          <w:rtl w:val="0"/>
          <w:lang w:val="fr"/>
        </w:rPr>
        <w:t>Inscrivez vos indicateurs et vos sources de données sur le tableau de conférence ou sur la feuille de travail (voir la dernière page de ce Guide d'exercices).</w:t>
      </w:r>
    </w:p>
    <w:p w:rsidR="0099327F" w:rsidP="00666BD5" w14:paraId="12B9F6A7" w14:textId="77777777">
      <w:pPr>
        <w:spacing w:after="0" w:line="276" w:lineRule="auto"/>
        <w:rPr>
          <w:rFonts w:cs="Arial"/>
          <w:b/>
          <w:szCs w:val="24"/>
        </w:rPr>
      </w:pPr>
    </w:p>
    <w:p w:rsidR="0099327F" w:rsidP="00666BD5" w14:paraId="53BAD31A" w14:textId="77777777">
      <w:pPr>
        <w:spacing w:after="0" w:line="276" w:lineRule="auto"/>
        <w:rPr>
          <w:rFonts w:cs="Arial"/>
          <w:b/>
          <w:szCs w:val="24"/>
        </w:rPr>
      </w:pPr>
    </w:p>
    <w:p w:rsidR="00666BD5" w:rsidRPr="00476832" w:rsidP="00666BD5" w14:paraId="5552AC86" w14:textId="77777777">
      <w:pPr>
        <w:bidi w:val="0"/>
        <w:spacing w:after="0" w:line="276" w:lineRule="auto"/>
        <w:rPr>
          <w:rFonts w:cs="Arial"/>
          <w:b/>
          <w:szCs w:val="24"/>
        </w:rPr>
      </w:pPr>
      <w:r w:rsidRPr="00476832">
        <w:rPr>
          <w:rFonts w:cs="Arial"/>
          <w:b/>
          <w:szCs w:val="24"/>
          <w:rtl w:val="0"/>
          <w:lang w:val="fr"/>
        </w:rPr>
        <w:t>Étape 2 : Discussion de groupe</w:t>
      </w:r>
    </w:p>
    <w:p w:rsidR="00666BD5" w:rsidRPr="00476832" w:rsidP="00666BD5" w14:paraId="5FB1850B" w14:textId="77777777">
      <w:pPr>
        <w:bidi w:val="0"/>
        <w:spacing w:after="0" w:line="276" w:lineRule="auto"/>
        <w:rPr>
          <w:rFonts w:cs="Arial"/>
          <w:szCs w:val="24"/>
        </w:rPr>
      </w:pPr>
      <w:r w:rsidRPr="00476832">
        <w:rPr>
          <w:rFonts w:cs="Arial"/>
          <w:szCs w:val="24"/>
          <w:rtl w:val="0"/>
          <w:lang w:val="fr"/>
        </w:rPr>
        <w:t xml:space="preserve">Chaque groupe présentera ses indicateurs et les sources de données associées à l'ensemble du groupe. </w:t>
      </w:r>
    </w:p>
    <w:p w:rsidR="00666BD5" w:rsidRPr="00476832" w:rsidP="00666BD5" w14:paraId="3849D435" w14:textId="77777777">
      <w:pPr>
        <w:bidi w:val="0"/>
        <w:spacing w:after="0" w:line="276" w:lineRule="auto"/>
        <w:rPr>
          <w:rFonts w:cs="Arial"/>
          <w:szCs w:val="24"/>
        </w:rPr>
      </w:pPr>
      <w:r w:rsidRPr="00476832">
        <w:rPr>
          <w:rFonts w:cs="Arial"/>
          <w:szCs w:val="24"/>
          <w:rtl w:val="0"/>
          <w:lang w:val="fr"/>
        </w:rPr>
        <w:t>Questions de discussion possibles :</w:t>
      </w:r>
    </w:p>
    <w:p w:rsidR="00666BD5" w:rsidRPr="00476832" w:rsidP="00666BD5" w14:paraId="035ECD99" w14:textId="77777777">
      <w:pPr>
        <w:numPr>
          <w:ilvl w:val="0"/>
          <w:numId w:val="22"/>
        </w:numPr>
        <w:bidi w:val="0"/>
        <w:spacing w:after="0" w:line="276" w:lineRule="auto"/>
        <w:rPr>
          <w:rFonts w:eastAsia="Arial" w:cs="Arial"/>
          <w:szCs w:val="24"/>
        </w:rPr>
      </w:pPr>
      <w:r w:rsidRPr="00476832">
        <w:rPr>
          <w:rFonts w:eastAsia="Arial" w:cs="Arial"/>
          <w:szCs w:val="24"/>
          <w:rtl w:val="0"/>
          <w:lang w:val="fr"/>
        </w:rPr>
        <w:t>Y a-t-il des indicateurs qui peuvent être utilisés dans plus d'un quadrant ?</w:t>
      </w:r>
    </w:p>
    <w:p w:rsidR="00666BD5" w:rsidRPr="00476832" w:rsidP="00666BD5" w14:paraId="67021FFA" w14:textId="77777777">
      <w:pPr>
        <w:numPr>
          <w:ilvl w:val="0"/>
          <w:numId w:val="22"/>
        </w:numPr>
        <w:bidi w:val="0"/>
        <w:spacing w:after="0" w:line="276" w:lineRule="auto"/>
        <w:rPr>
          <w:rFonts w:eastAsia="Arial" w:cs="Arial"/>
          <w:szCs w:val="24"/>
        </w:rPr>
      </w:pPr>
      <w:r w:rsidRPr="00476832">
        <w:rPr>
          <w:rFonts w:eastAsia="Arial" w:cs="Arial"/>
          <w:szCs w:val="24"/>
          <w:rtl w:val="0"/>
          <w:lang w:val="fr"/>
        </w:rPr>
        <w:t>Quelle est la source de données la plus courante pour chaque quadrant ?</w:t>
      </w:r>
    </w:p>
    <w:p w:rsidR="00666BD5" w:rsidRPr="00476832" w:rsidP="00666BD5" w14:paraId="579198E7" w14:textId="1877FAB1">
      <w:pPr>
        <w:numPr>
          <w:ilvl w:val="0"/>
          <w:numId w:val="22"/>
        </w:numPr>
        <w:bidi w:val="0"/>
        <w:spacing w:after="0" w:line="276" w:lineRule="auto"/>
        <w:rPr>
          <w:rFonts w:eastAsia="Arial" w:cs="Arial"/>
          <w:szCs w:val="24"/>
        </w:rPr>
      </w:pPr>
      <w:r w:rsidRPr="00476832">
        <w:rPr>
          <w:rFonts w:eastAsia="Arial" w:cs="Arial"/>
          <w:szCs w:val="24"/>
          <w:rtl w:val="0"/>
          <w:lang w:val="fr"/>
        </w:rPr>
        <w:t>Si vous deviez mesurer ces indicateurs aujourd'hui, avez-vous une bonne idée de la manière dont vous le feriez ? Savez-vous qui en sera responsable ?</w:t>
      </w:r>
    </w:p>
    <w:p w:rsidR="00666BD5" w:rsidRPr="00476832" w:rsidP="00666BD5" w14:paraId="07A3C304" w14:textId="6C7CFECD">
      <w:pPr>
        <w:numPr>
          <w:ilvl w:val="0"/>
          <w:numId w:val="22"/>
        </w:numPr>
        <w:bidi w:val="0"/>
        <w:spacing w:after="0" w:line="276" w:lineRule="auto"/>
        <w:rPr>
          <w:szCs w:val="24"/>
        </w:rPr>
      </w:pPr>
      <w:r w:rsidRPr="00476832">
        <w:rPr>
          <w:rFonts w:eastAsia="Arial" w:cs="Arial"/>
          <w:szCs w:val="24"/>
          <w:rtl w:val="0"/>
          <w:lang w:val="fr"/>
        </w:rPr>
        <w:t xml:space="preserve">Les indicateurs que vous avez identifiés correspondent-ils à la manière dont vos donateurs/partenaires veulent s'informer sur votre travail ? </w:t>
      </w:r>
    </w:p>
    <w:p w:rsidR="00666BD5" w:rsidRPr="00476832" w:rsidP="00666BD5" w14:paraId="58310AE4" w14:textId="5CF5861D">
      <w:pPr>
        <w:spacing w:after="0" w:line="276" w:lineRule="auto"/>
        <w:rPr>
          <w:szCs w:val="24"/>
        </w:rPr>
      </w:pPr>
    </w:p>
    <w:p w:rsidR="00F962B4" w:rsidRPr="000C6114" w:rsidP="000C6114" w14:paraId="1745FF55" w14:textId="7D94907C">
      <w:pPr>
        <w:pStyle w:val="Title"/>
        <w:widowControl w:val="0"/>
        <w:spacing w:before="160" w:after="160" w:line="276" w:lineRule="auto"/>
        <w:contextualSpacing w:val="0"/>
        <w:rPr>
          <w:rFonts w:ascii="Gill Sans MT" w:hAnsi="Gill Sans MT"/>
          <w:b/>
          <w:sz w:val="28"/>
          <w:szCs w:val="24"/>
        </w:rPr>
      </w:pPr>
    </w:p>
    <w:p w:rsidR="002C0ADD" w14:paraId="1897809C" w14:textId="317C6439">
      <w:pPr>
        <w:rPr>
          <w:sz w:val="20"/>
        </w:rPr>
      </w:pPr>
      <w:r>
        <w:rPr>
          <w:sz w:val="20"/>
        </w:rPr>
        <w:br w:type="page"/>
      </w:r>
    </w:p>
    <w:p w:rsidR="005872CD" w:rsidRPr="00233199" w:rsidP="00233199" w14:paraId="0C1DA9DD" w14:textId="4FD2D276">
      <w:pPr>
        <w:pStyle w:val="Heading1"/>
        <w:bidi w:val="0"/>
      </w:pPr>
      <w:r w:rsidRPr="00233199">
        <w:rPr>
          <w:rtl w:val="0"/>
          <w:lang w:val="fr"/>
        </w:rPr>
        <w:t>Document pour les participants</w:t>
      </w:r>
    </w:p>
    <w:p w:rsidR="00233199" w:rsidRPr="001D0680" w:rsidP="005872CD" w14:paraId="0D8C061A" w14:textId="6FC0AEC9">
      <w:pPr>
        <w:widowControl w:val="0"/>
        <w:bidi w:val="0"/>
        <w:spacing w:after="0" w:line="276" w:lineRule="auto"/>
        <w:rPr>
          <w:b/>
          <w:szCs w:val="24"/>
        </w:rPr>
      </w:pPr>
      <w:r w:rsidRPr="001D0680">
        <w:rPr>
          <w:b/>
          <w:szCs w:val="24"/>
          <w:rtl w:val="0"/>
          <w:lang w:val="fr"/>
        </w:rPr>
        <w:t>La matrice des outils et techniques de GC</w:t>
      </w:r>
    </w:p>
    <w:p w:rsidR="00233199" w:rsidP="00495010" w14:paraId="3E7D1C69" w14:textId="4C4EE2C5">
      <w:pPr>
        <w:pStyle w:val="Heading1"/>
      </w:pPr>
      <w:r>
        <w:rPr>
          <w:noProof/>
          <w:lang w:eastAsia="en-US"/>
        </w:rPr>
        <w:drawing>
          <wp:anchor distT="0" distB="0" distL="114300" distR="114300" simplePos="0" relativeHeight="251658240" behindDoc="1" locked="0" layoutInCell="1" allowOverlap="1">
            <wp:simplePos x="0" y="0"/>
            <wp:positionH relativeFrom="column">
              <wp:posOffset>-142875</wp:posOffset>
            </wp:positionH>
            <wp:positionV relativeFrom="paragraph">
              <wp:posOffset>95885</wp:posOffset>
            </wp:positionV>
            <wp:extent cx="5943600" cy="5332730"/>
            <wp:effectExtent l="0" t="0" r="0" b="0"/>
            <wp:wrapTight wrapText="bothSides">
              <wp:wrapPolygon>
                <wp:start x="10523" y="3858"/>
                <wp:lineTo x="10385" y="4167"/>
                <wp:lineTo x="10246" y="5247"/>
                <wp:lineTo x="9831" y="5247"/>
                <wp:lineTo x="8031" y="6250"/>
                <wp:lineTo x="7892" y="6559"/>
                <wp:lineTo x="7131" y="7639"/>
                <wp:lineTo x="6577" y="8951"/>
                <wp:lineTo x="5123" y="10185"/>
                <wp:lineTo x="5123" y="10571"/>
                <wp:lineTo x="6023" y="11420"/>
                <wp:lineTo x="6438" y="11420"/>
                <wp:lineTo x="6438" y="11729"/>
                <wp:lineTo x="6785" y="12654"/>
                <wp:lineTo x="7546" y="14198"/>
                <wp:lineTo x="8723" y="15124"/>
                <wp:lineTo x="10800" y="16358"/>
                <wp:lineTo x="11146" y="16358"/>
                <wp:lineTo x="6369" y="17053"/>
                <wp:lineTo x="5123" y="17284"/>
                <wp:lineTo x="5192" y="17747"/>
                <wp:lineTo x="10662" y="17747"/>
                <wp:lineTo x="10662" y="17593"/>
                <wp:lineTo x="12254" y="17207"/>
                <wp:lineTo x="12392" y="16898"/>
                <wp:lineTo x="11700" y="16358"/>
                <wp:lineTo x="12115" y="16358"/>
                <wp:lineTo x="13985" y="15355"/>
                <wp:lineTo x="14123" y="15124"/>
                <wp:lineTo x="15438" y="13889"/>
                <wp:lineTo x="16200" y="12654"/>
                <wp:lineTo x="16338" y="11420"/>
                <wp:lineTo x="17031" y="11420"/>
                <wp:lineTo x="18000" y="10648"/>
                <wp:lineTo x="17862" y="10185"/>
                <wp:lineTo x="16200" y="8951"/>
                <wp:lineTo x="15854" y="7639"/>
                <wp:lineTo x="14954" y="6404"/>
                <wp:lineTo x="14123" y="5710"/>
                <wp:lineTo x="13223" y="5247"/>
                <wp:lineTo x="13292" y="4553"/>
                <wp:lineTo x="12254" y="4012"/>
                <wp:lineTo x="10800" y="3858"/>
                <wp:lineTo x="10523" y="385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62691" name="Figure-2.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943600" cy="5332730"/>
                    </a:xfrm>
                    <a:prstGeom prst="rect">
                      <a:avLst/>
                    </a:prstGeom>
                  </pic:spPr>
                </pic:pic>
              </a:graphicData>
            </a:graphic>
            <wp14:sizeRelH relativeFrom="page">
              <wp14:pctWidth>0</wp14:pctWidth>
            </wp14:sizeRelH>
            <wp14:sizeRelV relativeFrom="page">
              <wp14:pctHeight>0</wp14:pctHeight>
            </wp14:sizeRelV>
          </wp:anchor>
        </w:drawing>
      </w:r>
    </w:p>
    <w:p w:rsidR="00233199" w:rsidRPr="00233199" w:rsidP="00233199" w14:paraId="605CC1F5" w14:textId="77777777"/>
    <w:p w:rsidR="00233199" w:rsidRPr="00233199" w:rsidP="00233199" w14:paraId="7DF839EF" w14:textId="77777777"/>
    <w:p w:rsidR="00233199" w:rsidRPr="00233199" w:rsidP="00233199" w14:paraId="6A84BAFA" w14:textId="77777777"/>
    <w:p w:rsidR="00233199" w:rsidRPr="00233199" w:rsidP="00233199" w14:paraId="5CA6BE9B" w14:textId="77777777"/>
    <w:p w:rsidR="00233199" w:rsidRPr="00233199" w:rsidP="00233199" w14:paraId="6D7C5F42" w14:textId="77777777"/>
    <w:p w:rsidR="00233199" w:rsidRPr="00233199" w:rsidP="00233199" w14:paraId="7E79CA52" w14:textId="77777777"/>
    <w:p w:rsidR="00233199" w:rsidRPr="00233199" w:rsidP="00233199" w14:paraId="22A39978" w14:textId="77777777"/>
    <w:p w:rsidR="00233199" w:rsidRPr="00233199" w:rsidP="00233199" w14:paraId="24AB574F" w14:textId="77777777"/>
    <w:p w:rsidR="00233199" w:rsidRPr="00233199" w:rsidP="00233199" w14:paraId="4B9AB13E" w14:textId="77777777"/>
    <w:p w:rsidR="00233199" w:rsidRPr="00233199" w:rsidP="00233199" w14:paraId="5AF35637" w14:textId="77777777"/>
    <w:p w:rsidR="00233199" w:rsidRPr="00233199" w:rsidP="00233199" w14:paraId="4F4A4E40" w14:textId="77777777"/>
    <w:p w:rsidR="00233199" w:rsidRPr="00233199" w:rsidP="00233199" w14:paraId="16B985B8" w14:textId="77777777"/>
    <w:p w:rsidR="00233199" w:rsidRPr="00233199" w:rsidP="00233199" w14:paraId="7E746563" w14:textId="77777777"/>
    <w:p w:rsidR="00233199" w:rsidRPr="00233199" w:rsidP="00233199" w14:paraId="27CE9B0B" w14:textId="77777777"/>
    <w:p w:rsidR="00233199" w:rsidRPr="00233199" w:rsidP="00233199" w14:paraId="03342D77" w14:textId="77777777"/>
    <w:p w:rsidR="00233199" w:rsidRPr="00233199" w:rsidP="00233199" w14:paraId="178BE65B" w14:textId="77777777"/>
    <w:p w:rsidR="00233199" w:rsidP="00233199" w14:paraId="3EC232F2" w14:textId="0065C6BD">
      <w:pPr>
        <w:bidi w:val="0"/>
      </w:pPr>
      <w:r>
        <w:rPr>
          <w:rtl w:val="0"/>
          <w:lang w:val="fr"/>
        </w:rPr>
        <w:t>Les outils et techniques de GC sont mesurés en fonction de leur portée, de leur engagement et de leur utilité :</w:t>
      </w:r>
    </w:p>
    <w:p w:rsidR="00233199" w:rsidRPr="00233199" w:rsidP="00233199" w14:paraId="78608BCC" w14:textId="5A6D1022">
      <w:pPr>
        <w:pStyle w:val="ListParagraph"/>
        <w:numPr>
          <w:ilvl w:val="0"/>
          <w:numId w:val="26"/>
        </w:numPr>
        <w:bidi w:val="0"/>
      </w:pPr>
      <w:r>
        <w:rPr>
          <w:rtl w:val="0"/>
          <w:lang w:val="fr"/>
        </w:rPr>
        <w:t xml:space="preserve">La </w:t>
      </w:r>
      <w:r w:rsidRPr="00233199">
        <w:rPr>
          <w:b/>
          <w:rtl w:val="0"/>
          <w:lang w:val="fr"/>
        </w:rPr>
        <w:t>portée</w:t>
      </w:r>
      <w:r>
        <w:rPr>
          <w:rtl w:val="0"/>
          <w:lang w:val="fr"/>
        </w:rPr>
        <w:t xml:space="preserve"> fait référence à l'ampleur (la distance) et à la saturation (la profondeur) de vos efforts de diffusion, de distribution et d'échange de connaissances. </w:t>
      </w:r>
    </w:p>
    <w:p w:rsidR="00233199" w:rsidP="00233199" w14:paraId="3CE89E43" w14:textId="06E71726">
      <w:pPr>
        <w:pStyle w:val="ListParagraph"/>
        <w:numPr>
          <w:ilvl w:val="0"/>
          <w:numId w:val="26"/>
        </w:numPr>
        <w:bidi w:val="0"/>
      </w:pPr>
      <w:r>
        <w:rPr>
          <w:rtl w:val="0"/>
          <w:lang w:val="fr"/>
        </w:rPr>
        <w:t>L'</w:t>
      </w:r>
      <w:r w:rsidRPr="00233199">
        <w:rPr>
          <w:b/>
          <w:rtl w:val="0"/>
          <w:lang w:val="fr"/>
        </w:rPr>
        <w:t>engagement</w:t>
      </w:r>
      <w:r>
        <w:rPr>
          <w:rtl w:val="0"/>
          <w:lang w:val="fr"/>
        </w:rPr>
        <w:t xml:space="preserve"> concerne les interactions des utilisateurs avec les autres utilisateurs et leur connexion avec les connaissances présentées.</w:t>
      </w:r>
    </w:p>
    <w:p w:rsidR="00233199" w:rsidRPr="00233199" w:rsidP="00233199" w14:paraId="3F08DE11" w14:textId="6B6FF745">
      <w:pPr>
        <w:pStyle w:val="ListParagraph"/>
        <w:numPr>
          <w:ilvl w:val="0"/>
          <w:numId w:val="26"/>
        </w:numPr>
        <w:bidi w:val="0"/>
      </w:pPr>
      <w:r>
        <w:rPr>
          <w:rtl w:val="0"/>
          <w:lang w:val="fr"/>
        </w:rPr>
        <w:t>L'</w:t>
      </w:r>
      <w:r w:rsidRPr="00233199">
        <w:rPr>
          <w:b/>
          <w:rtl w:val="0"/>
          <w:lang w:val="fr"/>
        </w:rPr>
        <w:t>utilité</w:t>
      </w:r>
      <w:r>
        <w:rPr>
          <w:rtl w:val="0"/>
          <w:lang w:val="fr"/>
        </w:rPr>
        <w:t xml:space="preserve"> est déterminée par deux facteurs : la satisfaction et la qualité. La satisfaction reflète l'évaluation par l'utilisateur de la pertinence du contenu du résultat de la GC, ainsi que de la présentation et du mécanisme de diffusion. La qualité consiste à déterminer si les activités de GC sont exactes, font autorité, sont objectives, actuelles et couvrent le champ d'application prévu.</w:t>
      </w:r>
    </w:p>
    <w:p w:rsidR="00233199" w:rsidRPr="00233199" w:rsidP="00233199" w14:paraId="489E8372" w14:textId="50E46079"/>
    <w:p w:rsidR="009B133F" w:rsidP="00495010" w14:paraId="3AB53D25" w14:textId="750A27B7">
      <w:pPr>
        <w:pStyle w:val="Heading1"/>
        <w:bidi w:val="0"/>
      </w:pPr>
      <w:r w:rsidRPr="00233199">
        <w:rPr>
          <w:rtl w:val="0"/>
          <w:lang w:val="fr"/>
        </w:rPr>
        <w:br w:type="page"/>
        <w:t>Feuille d'exercice</w:t>
      </w:r>
    </w:p>
    <w:p w:rsidR="00495010" w:rsidP="00495010" w14:paraId="01809AAE" w14:textId="4DF9B333">
      <w:pPr>
        <w:bidi w:val="0"/>
      </w:pPr>
      <w:r>
        <w:rPr>
          <w:rtl w:val="0"/>
          <w:lang w:val="fr"/>
        </w:rPr>
        <w:t>Quadrant : ________________________</w:t>
      </w:r>
    </w:p>
    <w:p w:rsidR="00495010" w:rsidP="00495010" w14:paraId="3DBAAE32" w14:textId="77777777"/>
    <w:p w:rsidR="00495010" w:rsidP="00495010" w14:paraId="46FB0E35" w14:textId="3B856CD3">
      <w:pPr>
        <w:bidi w:val="0"/>
      </w:pPr>
      <w:r>
        <w:rPr>
          <w:rtl w:val="0"/>
          <w:lang w:val="fr"/>
        </w:rPr>
        <w:t>Outil/technique, indicateur et source de données</w:t>
      </w:r>
    </w:p>
    <w:p w:rsidR="00495010" w:rsidP="00495010" w14:paraId="1B8D9EBC" w14:textId="77777777"/>
    <w:p w:rsidR="00495010" w:rsidRPr="00495010" w:rsidP="00495010" w14:paraId="53B72ECD" w14:textId="76C2E3E3">
      <w:pPr>
        <w:pStyle w:val="ListParagraph"/>
        <w:numPr>
          <w:ilvl w:val="0"/>
          <w:numId w:val="23"/>
        </w:numPr>
        <w:bidi w:val="0"/>
      </w:pPr>
      <w:r>
        <w:rPr>
          <w:rtl w:val="0"/>
          <w:lang w:val="fr"/>
        </w:rPr>
        <w:t xml:space="preserve">Outil/technique___________________________________________________________ </w:t>
        <w:br/>
      </w:r>
    </w:p>
    <w:p w:rsidR="00495010" w:rsidP="00495010" w14:paraId="0359B143" w14:textId="07C705EB">
      <w:pPr>
        <w:pStyle w:val="ListParagraph"/>
        <w:bidi w:val="0"/>
      </w:pPr>
      <w:r>
        <w:rPr>
          <w:rFonts w:cs="Arial"/>
          <w:rtl w:val="0"/>
          <w:lang w:val="fr"/>
        </w:rPr>
        <w:t>Indicateur________________________________________________________________</w:t>
        <w:br/>
        <w:br/>
        <w:t>Source des données : _____________________________________________________________</w:t>
        <w:br/>
      </w:r>
    </w:p>
    <w:p w:rsidR="00495010" w:rsidRPr="00495010" w:rsidP="00495010" w14:paraId="7CAAAC70" w14:textId="094465E2">
      <w:pPr>
        <w:pStyle w:val="ListParagraph"/>
        <w:numPr>
          <w:ilvl w:val="0"/>
          <w:numId w:val="23"/>
        </w:numPr>
        <w:bidi w:val="0"/>
      </w:pPr>
      <w:r>
        <w:rPr>
          <w:rtl w:val="0"/>
          <w:lang w:val="fr"/>
        </w:rPr>
        <w:t xml:space="preserve">Outil/technique___________________________________________________________ </w:t>
        <w:br/>
      </w:r>
    </w:p>
    <w:p w:rsidR="00495010" w:rsidP="00495010" w14:paraId="2C9D0D0E" w14:textId="128EC505">
      <w:pPr>
        <w:pStyle w:val="ListParagraph"/>
        <w:bidi w:val="0"/>
      </w:pPr>
      <w:r w:rsidRPr="00495010">
        <w:rPr>
          <w:rFonts w:cs="Arial"/>
          <w:rtl w:val="0"/>
          <w:lang w:val="fr"/>
        </w:rPr>
        <w:t>Indicateur________________________________________________________________</w:t>
        <w:br/>
        <w:br/>
        <w:t>Source des données : _____________________________________________________________</w:t>
      </w:r>
    </w:p>
    <w:p w:rsidR="00495010" w:rsidP="00495010" w14:paraId="2E5ECFCE" w14:textId="77777777"/>
    <w:p w:rsidR="00495010" w:rsidRPr="00495010" w:rsidP="00495010" w14:paraId="1877686A" w14:textId="02B8741D">
      <w:pPr>
        <w:pStyle w:val="ListParagraph"/>
        <w:numPr>
          <w:ilvl w:val="0"/>
          <w:numId w:val="23"/>
        </w:numPr>
        <w:bidi w:val="0"/>
      </w:pPr>
      <w:r>
        <w:rPr>
          <w:rtl w:val="0"/>
          <w:lang w:val="fr"/>
        </w:rPr>
        <w:t xml:space="preserve">Outil/technique ___________________________________________________________ </w:t>
        <w:br/>
      </w:r>
    </w:p>
    <w:p w:rsidR="00495010" w:rsidP="00495010" w14:paraId="2B02EA8A" w14:textId="37ED7058">
      <w:pPr>
        <w:pStyle w:val="ListParagraph"/>
        <w:bidi w:val="0"/>
      </w:pPr>
      <w:r w:rsidRPr="00495010">
        <w:rPr>
          <w:rFonts w:cs="Arial"/>
          <w:rtl w:val="0"/>
          <w:lang w:val="fr"/>
        </w:rPr>
        <w:t>Indicateur________________________________________________________________</w:t>
        <w:br/>
        <w:br/>
        <w:t>Source des données : _____________________________________________________________</w:t>
      </w:r>
    </w:p>
    <w:p w:rsidR="00495010" w:rsidP="00495010" w14:paraId="02ED7322" w14:textId="77777777"/>
    <w:p w:rsidR="00495010" w:rsidRPr="00495010" w:rsidP="00495010" w14:paraId="605DC179" w14:textId="34DD2C4D">
      <w:pPr>
        <w:pStyle w:val="ListParagraph"/>
        <w:numPr>
          <w:ilvl w:val="0"/>
          <w:numId w:val="23"/>
        </w:numPr>
        <w:bidi w:val="0"/>
      </w:pPr>
      <w:r>
        <w:rPr>
          <w:rtl w:val="0"/>
          <w:lang w:val="fr"/>
        </w:rPr>
        <w:t xml:space="preserve">Outil/technique ___________________________________________________________ </w:t>
        <w:br/>
      </w:r>
    </w:p>
    <w:p w:rsidR="00495010" w:rsidP="00495010" w14:paraId="184DFCF1" w14:textId="07D4198D">
      <w:pPr>
        <w:pStyle w:val="ListParagraph"/>
        <w:bidi w:val="0"/>
        <w:rPr>
          <w:rFonts w:cs="Arial"/>
        </w:rPr>
      </w:pPr>
      <w:r w:rsidRPr="00495010">
        <w:rPr>
          <w:rFonts w:cs="Arial"/>
          <w:rtl w:val="0"/>
          <w:lang w:val="fr"/>
        </w:rPr>
        <w:t>Indicateur________________________________________________________________</w:t>
        <w:br/>
        <w:br/>
        <w:t>Source des données : _____________________________________________________________</w:t>
      </w:r>
    </w:p>
    <w:p w:rsidR="00495010" w:rsidP="00495010" w14:paraId="51D039B0" w14:textId="77777777"/>
    <w:p w:rsidR="00495010" w:rsidRPr="00495010" w:rsidP="00495010" w14:paraId="3C41EACE" w14:textId="787D9E62">
      <w:pPr>
        <w:pStyle w:val="ListParagraph"/>
        <w:numPr>
          <w:ilvl w:val="0"/>
          <w:numId w:val="23"/>
        </w:numPr>
        <w:bidi w:val="0"/>
      </w:pPr>
      <w:r>
        <w:rPr>
          <w:rtl w:val="0"/>
          <w:lang w:val="fr"/>
        </w:rPr>
        <w:t xml:space="preserve">Outil/technique ___________________________________________________________ </w:t>
        <w:br/>
      </w:r>
    </w:p>
    <w:p w:rsidR="00495010" w:rsidRPr="00495010" w:rsidP="00495010" w14:paraId="5C9EC3F3" w14:textId="47D9C0D2">
      <w:pPr>
        <w:pStyle w:val="ListParagraph"/>
        <w:bidi w:val="0"/>
      </w:pPr>
      <w:r>
        <w:rPr>
          <w:rFonts w:cs="Arial"/>
          <w:rtl w:val="0"/>
          <w:lang w:val="fr"/>
        </w:rPr>
        <w:t>Indicateur________________________________________________________________</w:t>
        <w:br/>
        <w:br/>
        <w:t>Source des données : _____________________________________________________________</w:t>
      </w:r>
    </w:p>
    <w:sectPr w:rsidSect="00703F2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Lucida Grande">
    <w:altName w:val="Times New Roman"/>
    <w:charset w:val="00"/>
    <w:family w:val="auto"/>
    <w:pitch w:val="variable"/>
    <w:sig w:usb0="00000000" w:usb1="5000A1FF" w:usb2="00000000" w:usb3="00000000" w:csb0="000001B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699706"/>
      <w:docPartObj>
        <w:docPartGallery w:val="Page Numbers (Bottom of Page)"/>
        <w:docPartUnique/>
      </w:docPartObj>
    </w:sdtPr>
    <w:sdtEndPr>
      <w:rPr>
        <w:noProof/>
      </w:rPr>
    </w:sdtEndPr>
    <w:sdtContent>
      <w:p w:rsidR="005872CD" w:rsidP="00703F2E" w14:paraId="6BF1239C" w14:textId="77777777">
        <w:pPr>
          <w:pStyle w:val="Footer"/>
          <w:jc w:val="right"/>
        </w:pPr>
        <w:r>
          <w:fldChar w:fldCharType="begin"/>
        </w:r>
        <w:r>
          <w:instrText xml:space="preserve"> PAGE   \* MERGEFORMAT </w:instrText>
        </w:r>
        <w:r>
          <w:fldChar w:fldCharType="separate"/>
        </w:r>
        <w:r w:rsidR="001D0680">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A22" w:rsidRPr="000E7712" w:rsidP="008A3A22" w14:paraId="0635BF1F" w14:textId="334119CF">
    <w:pPr>
      <w:pStyle w:val="NormalWeb"/>
      <w:bidi w:val="0"/>
      <w:spacing w:before="0" w:beforeAutospacing="0" w:after="0" w:afterAutospacing="0"/>
      <w:rPr>
        <w:rFonts w:ascii="Gill Sans MT" w:hAnsi="Gill Sans MT" w:cs="Arial"/>
        <w:sz w:val="18"/>
        <w:szCs w:val="18"/>
      </w:rPr>
    </w:pPr>
    <w:bookmarkStart w:id="0" w:name="_Hlk77679733"/>
    <w:r w:rsidRPr="005655EB">
      <w:rPr>
        <w:rFonts w:ascii="Gill Sans MT" w:hAnsi="Gill Sans MT" w:cs="Arial"/>
        <w:i/>
        <w:iCs/>
        <w:color w:val="000000"/>
        <w:sz w:val="18"/>
        <w:szCs w:val="18"/>
        <w:rtl w:val="0"/>
        <w:lang w:val="fr"/>
      </w:rPr>
      <w:t xml:space="preserve">Cette ressource est rendue possible grâce au soutien du peuple américain par l'intermédiaire de l'Agence des États-Unis pour le développement international (USAID) dans le cadre de l'accord de coopération du projet SUCCÈS DES CONNAISSANCES (renforcement de l'utilisation, des capacités, de la collaboration, de l'échange, de la synthèse et du partage) « Knowledge SUCCESS (Strengthening Use, Capacity, Collaboration, Exchange, Synthesis, and Sharing) »,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le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Le matériel original peut être trouvé sur </w:t>
    </w:r>
    <w:r w:rsidRPr="000E7712">
      <w:rPr>
        <w:rFonts w:ascii="Gill Sans MT" w:hAnsi="Gill Sans MT" w:eastAsiaTheme="majorEastAsia" w:cs="Arial"/>
        <w:i/>
        <w:iCs/>
        <w:sz w:val="18"/>
        <w:szCs w:val="18"/>
        <w:rtl w:val="0"/>
        <w:lang w:val="fr"/>
      </w:rPr>
      <w:t>www.kmtraining.org</w:t>
    </w:r>
    <w:r w:rsidRPr="005655EB">
      <w:rPr>
        <w:rFonts w:ascii="Gill Sans MT" w:hAnsi="Gill Sans MT" w:cs="Arial"/>
        <w:i/>
        <w:iCs/>
        <w:color w:val="000000"/>
        <w:sz w:val="18"/>
        <w:szCs w:val="18"/>
        <w:rtl w:val="0"/>
        <w:lang w:val="fr"/>
      </w:rPr>
      <w:t>.</w:t>
    </w:r>
    <w:bookmarkEnd w:id="0"/>
  </w:p>
  <w:p w:rsidR="005872CD" w:rsidRPr="00092279" w:rsidP="008A3A22" w14:paraId="6BE7372C" w14:textId="1A43B9F1">
    <w:pPr>
      <w:pStyle w:val="Footer"/>
      <w:jc w:val="right"/>
      <w:rPr>
        <w:i/>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2CD" w14:paraId="58E4009A" w14:textId="77777777">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2CD" w14:paraId="0465BC64" w14:textId="5D52ADB2">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45233"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9C048F6"/>
    <w:multiLevelType w:val="hybridMultilevel"/>
    <w:tmpl w:val="0B7613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0F530CCC"/>
    <w:multiLevelType w:val="hybridMultilevel"/>
    <w:tmpl w:val="10E45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FB101A7"/>
    <w:multiLevelType w:val="hybridMultilevel"/>
    <w:tmpl w:val="8E68C5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906CDF"/>
    <w:multiLevelType w:val="hybridMultilevel"/>
    <w:tmpl w:val="9E244A1C"/>
    <w:lvl w:ilvl="0">
      <w:start w:val="1"/>
      <w:numFmt w:val="bullet"/>
      <w:pStyle w:val="ListBullet"/>
      <w:lvlText w:val=""/>
      <w:lvlJc w:val="left"/>
      <w:pPr>
        <w:tabs>
          <w:tab w:val="num" w:pos="432"/>
        </w:tabs>
        <w:ind w:left="432" w:hanging="432"/>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3277B4"/>
    <w:multiLevelType w:val="hybridMultilevel"/>
    <w:tmpl w:val="10E45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2">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D3055EE"/>
    <w:multiLevelType w:val="hybridMultilevel"/>
    <w:tmpl w:val="9774D2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3F0E7B"/>
    <w:multiLevelType w:val="hybridMultilevel"/>
    <w:tmpl w:val="8E607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5A41DC"/>
    <w:multiLevelType w:val="hybridMultilevel"/>
    <w:tmpl w:val="C33444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C31172"/>
    <w:multiLevelType w:val="hybridMultilevel"/>
    <w:tmpl w:val="D7F0CE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D7A24F7"/>
    <w:multiLevelType w:val="multilevel"/>
    <w:tmpl w:val="8CB8DDB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8">
    <w:nsid w:val="58DD61C6"/>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76B504E"/>
    <w:multiLevelType w:val="hybridMultilevel"/>
    <w:tmpl w:val="F4006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AB4355"/>
    <w:multiLevelType w:val="hybridMultilevel"/>
    <w:tmpl w:val="0B203272"/>
    <w:lvl w:ilvl="0">
      <w:start w:val="1"/>
      <w:numFmt w:val="decimal"/>
      <w:pStyle w:val="ListNumber"/>
      <w:lvlText w:val="%1."/>
      <w:lvlJc w:val="left"/>
      <w:pPr>
        <w:tabs>
          <w:tab w:val="num" w:pos="432"/>
        </w:tabs>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69650B7D"/>
    <w:multiLevelType w:val="hybridMultilevel"/>
    <w:tmpl w:val="C27496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EA06B4"/>
    <w:multiLevelType w:val="hybridMultilevel"/>
    <w:tmpl w:val="B0264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9"/>
  </w:num>
  <w:num w:numId="4">
    <w:abstractNumId w:val="20"/>
  </w:num>
  <w:num w:numId="5">
    <w:abstractNumId w:val="3"/>
  </w:num>
  <w:num w:numId="6">
    <w:abstractNumId w:val="7"/>
  </w:num>
  <w:num w:numId="7">
    <w:abstractNumId w:val="6"/>
  </w:num>
  <w:num w:numId="8">
    <w:abstractNumId w:val="12"/>
  </w:num>
  <w:num w:numId="9">
    <w:abstractNumId w:val="24"/>
  </w:num>
  <w:num w:numId="10">
    <w:abstractNumId w:val="11"/>
  </w:num>
  <w:num w:numId="11">
    <w:abstractNumId w:val="5"/>
  </w:num>
  <w:num w:numId="12">
    <w:abstractNumId w:val="21"/>
  </w:num>
  <w:num w:numId="13">
    <w:abstractNumId w:val="25"/>
  </w:num>
  <w:num w:numId="14">
    <w:abstractNumId w:val="18"/>
  </w:num>
  <w:num w:numId="15">
    <w:abstractNumId w:val="15"/>
  </w:num>
  <w:num w:numId="16">
    <w:abstractNumId w:val="2"/>
  </w:num>
  <w:num w:numId="17">
    <w:abstractNumId w:val="23"/>
  </w:num>
  <w:num w:numId="18">
    <w:abstractNumId w:val="13"/>
  </w:num>
  <w:num w:numId="19">
    <w:abstractNumId w:val="17"/>
  </w:num>
  <w:num w:numId="20">
    <w:abstractNumId w:val="14"/>
  </w:num>
  <w:num w:numId="21">
    <w:abstractNumId w:val="19"/>
  </w:num>
  <w:num w:numId="22">
    <w:abstractNumId w:val="22"/>
  </w:num>
  <w:num w:numId="23">
    <w:abstractNumId w:val="8"/>
  </w:num>
  <w:num w:numId="24">
    <w:abstractNumId w:val="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D"/>
    <w:rsid w:val="000130F4"/>
    <w:rsid w:val="00083866"/>
    <w:rsid w:val="00092279"/>
    <w:rsid w:val="000B0A08"/>
    <w:rsid w:val="000C6114"/>
    <w:rsid w:val="000E7712"/>
    <w:rsid w:val="000F7AA9"/>
    <w:rsid w:val="00181E13"/>
    <w:rsid w:val="00194099"/>
    <w:rsid w:val="001A7791"/>
    <w:rsid w:val="001C0DA3"/>
    <w:rsid w:val="001C281B"/>
    <w:rsid w:val="001D0680"/>
    <w:rsid w:val="00206B10"/>
    <w:rsid w:val="00233199"/>
    <w:rsid w:val="00250AA8"/>
    <w:rsid w:val="00263913"/>
    <w:rsid w:val="00263D7E"/>
    <w:rsid w:val="00275ACF"/>
    <w:rsid w:val="002A73BD"/>
    <w:rsid w:val="002C0ADD"/>
    <w:rsid w:val="002D3A6B"/>
    <w:rsid w:val="0030070D"/>
    <w:rsid w:val="003121B9"/>
    <w:rsid w:val="00313DB9"/>
    <w:rsid w:val="00332EA5"/>
    <w:rsid w:val="003D1A71"/>
    <w:rsid w:val="003D75BB"/>
    <w:rsid w:val="004248EA"/>
    <w:rsid w:val="00476832"/>
    <w:rsid w:val="004831CD"/>
    <w:rsid w:val="00491003"/>
    <w:rsid w:val="00495010"/>
    <w:rsid w:val="004D32EA"/>
    <w:rsid w:val="004F118D"/>
    <w:rsid w:val="004F5726"/>
    <w:rsid w:val="0055553D"/>
    <w:rsid w:val="005655EB"/>
    <w:rsid w:val="005872CD"/>
    <w:rsid w:val="005F46EB"/>
    <w:rsid w:val="00630F3F"/>
    <w:rsid w:val="00666BD5"/>
    <w:rsid w:val="00681FE7"/>
    <w:rsid w:val="00703F2E"/>
    <w:rsid w:val="007526FD"/>
    <w:rsid w:val="008A3A22"/>
    <w:rsid w:val="009763B6"/>
    <w:rsid w:val="009923BB"/>
    <w:rsid w:val="0099327F"/>
    <w:rsid w:val="009A00FF"/>
    <w:rsid w:val="009B133F"/>
    <w:rsid w:val="009C3275"/>
    <w:rsid w:val="00A43205"/>
    <w:rsid w:val="00A54584"/>
    <w:rsid w:val="00AD26EC"/>
    <w:rsid w:val="00AE1D16"/>
    <w:rsid w:val="00B06816"/>
    <w:rsid w:val="00BA7CA4"/>
    <w:rsid w:val="00C61912"/>
    <w:rsid w:val="00C6377D"/>
    <w:rsid w:val="00CB3DCE"/>
    <w:rsid w:val="00CC2C5D"/>
    <w:rsid w:val="00D05E0A"/>
    <w:rsid w:val="00D904BF"/>
    <w:rsid w:val="00DC6957"/>
    <w:rsid w:val="00E107CA"/>
    <w:rsid w:val="00E84E9D"/>
    <w:rsid w:val="00E966B8"/>
    <w:rsid w:val="00EA051F"/>
    <w:rsid w:val="00EF16F0"/>
    <w:rsid w:val="00F24DAF"/>
    <w:rsid w:val="00F53B18"/>
    <w:rsid w:val="00F962B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5:docId w15:val="{808AB224-9D99-4234-BB77-4402C65E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3F"/>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hAnsi="Gill Sans MT" w:eastAsiaTheme="majorEastAsia"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hAnsi="Gill Sans MT" w:eastAsiaTheme="majorEastAsia" w:cstheme="majorBidi"/>
      <w:b/>
      <w:color w:val="auto"/>
      <w:sz w:val="28"/>
      <w:szCs w:val="26"/>
    </w:rPr>
  </w:style>
  <w:style w:type="character" w:customStyle="1" w:styleId="Heading3Char">
    <w:name w:val="Heading 3 Char"/>
    <w:basedOn w:val="DefaultParagraphFont"/>
    <w:link w:val="Heading3"/>
    <w:uiPriority w:val="9"/>
    <w:rsid w:val="000F7AA9"/>
    <w:rPr>
      <w:rFonts w:ascii="Gill Sans MT" w:hAnsi="Gill Sans MT" w:eastAsiaTheme="majorEastAsia"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5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2CD"/>
    <w:pPr>
      <w:spacing w:after="0" w:line="240" w:lineRule="auto"/>
      <w:ind w:left="720"/>
      <w:contextualSpacing/>
    </w:pPr>
    <w:rPr>
      <w:rFonts w:asciiTheme="minorHAnsi" w:eastAsiaTheme="minorEastAsia" w:hAnsiTheme="minorHAnsi"/>
      <w:szCs w:val="24"/>
      <w:lang w:eastAsia="en-US"/>
    </w:rPr>
  </w:style>
  <w:style w:type="paragraph" w:styleId="BalloonText">
    <w:name w:val="Balloon Text"/>
    <w:basedOn w:val="Normal"/>
    <w:link w:val="BalloonTextChar"/>
    <w:uiPriority w:val="99"/>
    <w:semiHidden/>
    <w:unhideWhenUsed/>
    <w:rsid w:val="00F962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2B4"/>
    <w:rPr>
      <w:rFonts w:ascii="Lucida Grande" w:hAnsi="Lucida Grande" w:cs="Lucida Grande"/>
      <w:color w:val="auto"/>
      <w:sz w:val="18"/>
      <w:szCs w:val="18"/>
    </w:rPr>
  </w:style>
  <w:style w:type="paragraph" w:styleId="NormalWeb">
    <w:name w:val="Normal (Web)"/>
    <w:basedOn w:val="Normal"/>
    <w:uiPriority w:val="99"/>
    <w:unhideWhenUsed/>
    <w:rsid w:val="00233199"/>
    <w:pPr>
      <w:spacing w:before="100" w:beforeAutospacing="1" w:after="100" w:afterAutospacing="1" w:line="240" w:lineRule="auto"/>
    </w:pPr>
    <w:rPr>
      <w:rFonts w:ascii="Times New Roman" w:eastAsia="Times New Roman" w:hAnsi="Times New Roman" w:cs="Times New Roman"/>
      <w:szCs w:val="24"/>
      <w:lang w:eastAsia="en-US"/>
    </w:rPr>
  </w:style>
  <w:style w:type="character" w:styleId="FollowedHyperlink">
    <w:name w:val="FollowedHyperlink"/>
    <w:basedOn w:val="DefaultParagraphFont"/>
    <w:uiPriority w:val="99"/>
    <w:semiHidden/>
    <w:unhideWhenUsed/>
    <w:rsid w:val="008A3A22"/>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4C05-1308-4BA3-B481-2EF2FC24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2017-11-13T13:03:00Z</dcterms:created>
  <dcterms:modified xsi:type="dcterms:W3CDTF">2021-07-20T18:09:00Z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